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D31B3">
      <w:pPr>
        <w:widowControl w:val="0"/>
        <w:pBdr>
          <w:top w:val="nil"/>
          <w:left w:val="nil"/>
          <w:bottom w:val="nil"/>
          <w:right w:val="nil"/>
          <w:between w:val="nil"/>
        </w:pBdr>
        <w:spacing w:after="0" w:line="240" w:lineRule="auto"/>
        <w:jc w:val="center"/>
        <w:rPr>
          <w:rFonts w:ascii="PT Astra Serif" w:eastAsia="PT Astra Serif" w:hAnsi="PT Astra Serif" w:cs="PT Astra Serif"/>
          <w:b/>
          <w:sz w:val="24"/>
          <w:szCs w:val="24"/>
          <w:lang w:eastAsia="ru-RU"/>
        </w:rPr>
      </w:pPr>
      <w:r>
        <w:rPr>
          <w:rFonts w:ascii="PT Astra Serif" w:eastAsia="PT Astra Serif" w:hAnsi="PT Astra Serif" w:cs="PT Astra Serif"/>
          <w:b/>
          <w:sz w:val="24"/>
          <w:szCs w:val="24"/>
          <w:lang w:eastAsia="ru-RU"/>
        </w:rPr>
        <w:t>ТЕХНИЧЕСКОЕ ЗАДАНИЕ</w:t>
      </w:r>
    </w:p>
    <w:p w:rsidR="007E4429">
      <w:pPr>
        <w:widowControl w:val="0"/>
        <w:pBdr>
          <w:top w:val="nil"/>
          <w:left w:val="nil"/>
          <w:bottom w:val="nil"/>
          <w:right w:val="nil"/>
          <w:between w:val="nil"/>
        </w:pBdr>
        <w:spacing w:after="0" w:line="240" w:lineRule="auto"/>
        <w:jc w:val="center"/>
        <w:rPr>
          <w:rFonts w:ascii="PT Astra Serif" w:eastAsia="PT Astra Serif" w:hAnsi="PT Astra Serif" w:cs="PT Astra Serif"/>
          <w:b/>
          <w:sz w:val="24"/>
          <w:szCs w:val="24"/>
          <w:lang w:eastAsia="ru-RU"/>
        </w:rPr>
      </w:pPr>
      <w:r>
        <w:rPr>
          <w:rFonts w:ascii="PT Astra Serif" w:eastAsia="PT Astra Serif" w:hAnsi="PT Astra Serif" w:cs="PT Astra Serif"/>
          <w:b/>
          <w:sz w:val="24"/>
          <w:szCs w:val="24"/>
          <w:lang w:eastAsia="ru-RU"/>
        </w:rPr>
        <w:t>(ТИПОВОЕ)</w:t>
      </w:r>
    </w:p>
    <w:p w:rsidR="001D31B3">
      <w:pPr>
        <w:widowControl w:val="0"/>
        <w:pBdr>
          <w:top w:val="nil"/>
          <w:left w:val="nil"/>
          <w:bottom w:val="nil"/>
          <w:right w:val="nil"/>
          <w:between w:val="nil"/>
        </w:pBdr>
        <w:spacing w:after="0" w:line="240" w:lineRule="auto"/>
        <w:jc w:val="center"/>
        <w:rPr>
          <w:rFonts w:ascii="PT Astra Serif" w:eastAsia="PT Astra Serif" w:hAnsi="PT Astra Serif" w:cs="PT Astra Serif"/>
          <w:b/>
          <w:sz w:val="24"/>
          <w:szCs w:val="24"/>
          <w:lang w:eastAsia="ru-RU"/>
        </w:rPr>
      </w:pPr>
    </w:p>
    <w:p w:rsidR="001D31B3">
      <w:pPr>
        <w:widowControl w:val="0"/>
        <w:pBdr>
          <w:top w:val="nil"/>
          <w:left w:val="nil"/>
          <w:bottom w:val="nil"/>
          <w:right w:val="nil"/>
          <w:between w:val="nil"/>
        </w:pBdr>
        <w:spacing w:after="0" w:line="240" w:lineRule="auto"/>
        <w:jc w:val="center"/>
        <w:rPr>
          <w:rFonts w:ascii="PT Astra Serif" w:hAnsi="PT Astra Serif" w:cs="PT Astra Serif"/>
          <w:b/>
          <w:sz w:val="24"/>
          <w:szCs w:val="24"/>
        </w:rPr>
      </w:pPr>
      <w:r>
        <w:rPr>
          <w:rFonts w:ascii="PT Astra Serif" w:eastAsia="PT Astra Serif" w:hAnsi="PT Astra Serif" w:cs="PT Astra Serif"/>
          <w:i/>
          <w:color w:val="0000FF"/>
          <w:sz w:val="24"/>
          <w:szCs w:val="24"/>
        </w:rPr>
        <w:t>(</w:t>
      </w:r>
      <w:r>
        <w:rPr>
          <w:rFonts w:ascii="PT Astra Serif" w:eastAsia="PT Astra Serif" w:hAnsi="PT Astra Serif" w:cs="PT Astra Serif"/>
          <w:i/>
          <w:color w:val="0000FF"/>
          <w:sz w:val="24"/>
          <w:szCs w:val="24"/>
        </w:rPr>
        <w:t>устанавливается</w:t>
      </w:r>
      <w:r>
        <w:rPr>
          <w:rFonts w:ascii="PT Astra Serif" w:eastAsia="PT Astra Serif" w:hAnsi="PT Astra Serif" w:cs="PT Astra Serif"/>
          <w:i/>
          <w:color w:val="0000FF"/>
          <w:sz w:val="24"/>
          <w:szCs w:val="24"/>
        </w:rPr>
        <w:t xml:space="preserve"> ограничение закупок товаров, происходящих из иностранных государств,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D31B3">
      <w:pPr>
        <w:widowControl w:val="0"/>
        <w:pBdr>
          <w:top w:val="nil"/>
          <w:left w:val="nil"/>
          <w:bottom w:val="nil"/>
          <w:right w:val="nil"/>
          <w:between w:val="nil"/>
        </w:pBdr>
        <w:spacing w:after="0" w:line="240" w:lineRule="auto"/>
        <w:jc w:val="center"/>
        <w:rPr>
          <w:rFonts w:ascii="PT Astra Serif" w:hAnsi="PT Astra Serif" w:cs="PT Astra Serif"/>
        </w:rPr>
      </w:pPr>
    </w:p>
    <w:p w:rsidR="001D31B3">
      <w:pPr>
        <w:widowControl w:val="0"/>
        <w:pBdr>
          <w:top w:val="nil"/>
          <w:left w:val="nil"/>
          <w:bottom w:val="nil"/>
          <w:right w:val="nil"/>
          <w:between w:val="nil"/>
        </w:pBdr>
        <w:ind w:left="720"/>
        <w:contextualSpacing/>
        <w:jc w:val="both"/>
        <w:rPr>
          <w:rFonts w:ascii="PT Astra Serif" w:hAnsi="PT Astra Serif" w:cs="PT Astra Serif"/>
          <w:sz w:val="24"/>
          <w:szCs w:val="24"/>
        </w:rPr>
      </w:pPr>
      <w:r>
        <w:rPr>
          <w:rFonts w:ascii="PT Astra Serif" w:eastAsia="PT Astra Serif" w:hAnsi="PT Astra Serif" w:cs="PT Astra Serif"/>
          <w:b/>
          <w:sz w:val="24"/>
          <w:szCs w:val="24"/>
        </w:rPr>
        <w:t>1. Наименование объекта закупки:</w:t>
      </w:r>
      <w:r>
        <w:rPr>
          <w:rFonts w:ascii="PT Astra Serif" w:eastAsia="PT Astra Serif" w:hAnsi="PT Astra Serif" w:cs="PT Astra Serif"/>
          <w:sz w:val="24"/>
          <w:szCs w:val="24"/>
        </w:rPr>
        <w:t xml:space="preserve"> поставка </w:t>
      </w:r>
      <w:r>
        <w:rPr>
          <w:rFonts w:ascii="PT Astra Serif" w:eastAsia="PT Astra Serif" w:hAnsi="PT Astra Serif" w:cs="PT Astra Serif"/>
          <w:sz w:val="24"/>
          <w:szCs w:val="24"/>
          <w:lang w:eastAsia="ru-RU"/>
        </w:rPr>
        <w:t>аппаратно-программного модуля доверенной загрузки</w:t>
      </w:r>
      <w:r>
        <w:rPr>
          <w:rFonts w:ascii="PT Astra Serif" w:eastAsia="PT Astra Serif" w:hAnsi="PT Astra Serif" w:cs="PT Astra Serif"/>
          <w:sz w:val="24"/>
          <w:szCs w:val="24"/>
        </w:rPr>
        <w:t>.</w:t>
      </w:r>
    </w:p>
    <w:p w:rsidR="001D31B3">
      <w:pPr>
        <w:widowControl w:val="0"/>
        <w:pBdr>
          <w:top w:val="nil"/>
          <w:left w:val="nil"/>
          <w:bottom w:val="nil"/>
          <w:right w:val="nil"/>
          <w:between w:val="nil"/>
        </w:pBdr>
        <w:tabs>
          <w:tab w:val="left" w:pos="709"/>
        </w:tabs>
        <w:spacing w:after="0" w:line="240" w:lineRule="auto"/>
        <w:ind w:left="720"/>
        <w:contextualSpacing/>
        <w:jc w:val="both"/>
        <w:rPr>
          <w:rFonts w:ascii="PT Astra Serif" w:hAnsi="PT Astra Serif" w:cs="PT Astra Serif"/>
          <w:b/>
          <w:sz w:val="24"/>
          <w:szCs w:val="24"/>
        </w:rPr>
      </w:pPr>
      <w:r>
        <w:rPr>
          <w:rFonts w:ascii="PT Astra Serif" w:eastAsia="PT Astra Serif" w:hAnsi="PT Astra Serif" w:cs="PT Astra Serif"/>
          <w:b/>
          <w:sz w:val="24"/>
          <w:szCs w:val="24"/>
        </w:rPr>
        <w:t>2. Описание объекта закупки:</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1398"/>
        <w:gridCol w:w="1644"/>
        <w:gridCol w:w="2053"/>
        <w:gridCol w:w="1915"/>
        <w:gridCol w:w="2221"/>
        <w:gridCol w:w="1691"/>
        <w:gridCol w:w="950"/>
        <w:gridCol w:w="965"/>
      </w:tblGrid>
      <w:tr>
        <w:tblPrEx>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53"/>
          <w:jc w:val="center"/>
        </w:trPr>
        <w:tc>
          <w:tcPr>
            <w:tcW w:w="1579" w:type="dxa"/>
            <w:vMerge w:val="restart"/>
            <w:vAlign w:val="center"/>
          </w:tcPr>
          <w:p w:rsidR="001D31B3" w:rsidRPr="00A162C0">
            <w:pPr>
              <w:widowControl w:val="0"/>
              <w:pBdr>
                <w:top w:val="nil"/>
                <w:left w:val="nil"/>
                <w:bottom w:val="nil"/>
                <w:right w:val="nil"/>
                <w:between w:val="nil"/>
              </w:pBdr>
              <w:spacing w:after="0" w:line="240" w:lineRule="auto"/>
              <w:ind w:left="-108" w:right="-108"/>
              <w:jc w:val="center"/>
              <w:rPr>
                <w:rFonts w:ascii="PT Astra Serif" w:hAnsi="PT Astra Serif" w:cs="PT Astra Serif"/>
                <w:b/>
                <w:bCs/>
                <w:sz w:val="20"/>
                <w:szCs w:val="20"/>
              </w:rPr>
            </w:pPr>
            <w:r w:rsidRPr="00A162C0">
              <w:rPr>
                <w:rFonts w:ascii="PT Astra Serif" w:eastAsia="PT Astra Serif" w:hAnsi="PT Astra Serif" w:cs="PT Astra Serif"/>
                <w:b/>
                <w:sz w:val="20"/>
                <w:szCs w:val="20"/>
                <w:lang w:eastAsia="ru-RU"/>
              </w:rPr>
              <w:t>Наименование товара</w:t>
            </w:r>
          </w:p>
        </w:tc>
        <w:tc>
          <w:tcPr>
            <w:tcW w:w="1419" w:type="dxa"/>
            <w:vMerge w:val="restart"/>
            <w:vAlign w:val="center"/>
          </w:tcPr>
          <w:p w:rsidR="001D31B3" w:rsidRPr="00A162C0">
            <w:pPr>
              <w:widowControl w:val="0"/>
              <w:pBdr>
                <w:top w:val="nil"/>
                <w:left w:val="nil"/>
                <w:bottom w:val="nil"/>
                <w:right w:val="nil"/>
                <w:between w:val="nil"/>
              </w:pBdr>
              <w:spacing w:after="0" w:line="240" w:lineRule="auto"/>
              <w:ind w:left="-24" w:right="-64"/>
              <w:jc w:val="center"/>
              <w:rPr>
                <w:rFonts w:ascii="PT Astra Serif" w:hAnsi="PT Astra Serif" w:cs="PT Astra Serif"/>
                <w:b/>
                <w:bCs/>
                <w:color w:val="000000"/>
                <w:sz w:val="20"/>
                <w:szCs w:val="20"/>
              </w:rPr>
            </w:pPr>
            <w:r w:rsidRPr="00A162C0">
              <w:rPr>
                <w:rFonts w:ascii="PT Astra Serif" w:eastAsia="PT Astra Serif" w:hAnsi="PT Astra Serif" w:cs="PT Astra Serif"/>
                <w:b/>
                <w:bCs/>
                <w:color w:val="000000"/>
                <w:sz w:val="20"/>
                <w:szCs w:val="20"/>
                <w:lang w:eastAsia="ru-RU"/>
              </w:rPr>
              <w:t>Каталог товаров, работ, услуг, для обеспечения государственных и муниципальных нужд</w:t>
            </w:r>
          </w:p>
          <w:p w:rsidR="001D31B3" w:rsidRPr="00A162C0">
            <w:pPr>
              <w:pBdr>
                <w:top w:val="nil"/>
                <w:left w:val="nil"/>
                <w:bottom w:val="nil"/>
                <w:right w:val="nil"/>
                <w:between w:val="nil"/>
              </w:pBdr>
              <w:spacing w:after="0" w:line="240" w:lineRule="auto"/>
              <w:ind w:left="-10" w:right="-33"/>
              <w:jc w:val="center"/>
              <w:rPr>
                <w:rFonts w:ascii="PT Astra Serif" w:hAnsi="PT Astra Serif" w:cs="PT Astra Serif"/>
                <w:b/>
                <w:bCs/>
                <w:color w:val="000000"/>
                <w:sz w:val="20"/>
                <w:szCs w:val="20"/>
              </w:rPr>
            </w:pPr>
            <w:r w:rsidRPr="00A162C0">
              <w:rPr>
                <w:rFonts w:ascii="PT Astra Serif" w:eastAsia="PT Astra Serif" w:hAnsi="PT Astra Serif" w:cs="PT Astra Serif"/>
                <w:b/>
                <w:bCs/>
                <w:color w:val="000000"/>
                <w:sz w:val="20"/>
                <w:szCs w:val="20"/>
                <w:lang w:eastAsia="ru-RU"/>
              </w:rPr>
              <w:t>(КТРУ)</w:t>
            </w:r>
          </w:p>
        </w:tc>
        <w:tc>
          <w:tcPr>
            <w:tcW w:w="1669" w:type="dxa"/>
            <w:vMerge w:val="restart"/>
            <w:vAlign w:val="center"/>
          </w:tcPr>
          <w:p w:rsidR="001D31B3" w:rsidRPr="00A162C0">
            <w:pPr>
              <w:widowControl w:val="0"/>
              <w:pBdr>
                <w:top w:val="nil"/>
                <w:left w:val="nil"/>
                <w:bottom w:val="nil"/>
                <w:right w:val="nil"/>
                <w:between w:val="nil"/>
              </w:pBdr>
              <w:spacing w:after="0" w:line="240" w:lineRule="auto"/>
              <w:ind w:left="-24" w:right="-64"/>
              <w:jc w:val="center"/>
              <w:rPr>
                <w:rFonts w:ascii="PT Astra Serif" w:hAnsi="PT Astra Serif" w:cs="PT Astra Serif"/>
                <w:b/>
                <w:bCs/>
                <w:color w:val="000000"/>
                <w:sz w:val="20"/>
                <w:szCs w:val="20"/>
              </w:rPr>
            </w:pPr>
            <w:r w:rsidRPr="00A162C0">
              <w:rPr>
                <w:rFonts w:ascii="PT Astra Serif" w:eastAsia="PT Astra Serif" w:hAnsi="PT Astra Serif" w:cs="PT Astra Serif"/>
                <w:b/>
                <w:color w:val="000000"/>
                <w:sz w:val="20"/>
                <w:szCs w:val="20"/>
              </w:rPr>
              <w:t>Общероссийский классификатор</w:t>
            </w:r>
            <w:r w:rsidRPr="00A162C0">
              <w:rPr>
                <w:rFonts w:ascii="PT Astra Serif" w:eastAsia="PT Astra Serif" w:hAnsi="PT Astra Serif" w:cs="PT Astra Serif"/>
                <w:b/>
                <w:sz w:val="20"/>
                <w:szCs w:val="20"/>
              </w:rPr>
              <w:t xml:space="preserve"> п</w:t>
            </w:r>
            <w:r w:rsidRPr="00A162C0">
              <w:rPr>
                <w:rFonts w:ascii="PT Astra Serif" w:eastAsia="PT Astra Serif" w:hAnsi="PT Astra Serif" w:cs="PT Astra Serif"/>
                <w:b/>
                <w:color w:val="000000"/>
                <w:sz w:val="20"/>
                <w:szCs w:val="20"/>
              </w:rPr>
              <w:t>родукции по видам экономической деятельности (ОКПД2) ОК 034-2014 (КПЕС 2008)</w:t>
            </w:r>
          </w:p>
        </w:tc>
        <w:tc>
          <w:tcPr>
            <w:tcW w:w="8003" w:type="dxa"/>
            <w:gridSpan w:val="4"/>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b/>
                <w:bCs/>
                <w:sz w:val="20"/>
                <w:szCs w:val="20"/>
              </w:rPr>
            </w:pPr>
            <w:r w:rsidRPr="00A162C0">
              <w:rPr>
                <w:rFonts w:ascii="PT Astra Serif" w:eastAsia="PT Astra Serif" w:hAnsi="PT Astra Serif" w:cs="PT Astra Serif"/>
                <w:b/>
                <w:bCs/>
                <w:sz w:val="20"/>
                <w:szCs w:val="20"/>
                <w:lang w:eastAsia="ru-RU"/>
              </w:rPr>
              <w:t>Функциональные, технические, качественные, эксплуатационные характеристики товара</w:t>
            </w:r>
            <w:r>
              <w:rPr>
                <w:rStyle w:val="FootnoteReference"/>
                <w:rFonts w:ascii="PT Astra Serif" w:eastAsia="PT Astra Serif" w:hAnsi="PT Astra Serif" w:cs="PT Astra Serif"/>
                <w:b/>
                <w:bCs/>
                <w:sz w:val="20"/>
                <w:szCs w:val="20"/>
                <w:lang w:eastAsia="ru-RU"/>
              </w:rPr>
              <w:footnoteReference w:id="2"/>
            </w:r>
          </w:p>
        </w:tc>
        <w:tc>
          <w:tcPr>
            <w:tcW w:w="963" w:type="dxa"/>
            <w:vMerge w:val="restart"/>
            <w:vAlign w:val="center"/>
          </w:tcPr>
          <w:p w:rsidR="001D31B3" w:rsidRPr="00A162C0">
            <w:pPr>
              <w:widowControl w:val="0"/>
              <w:pBdr>
                <w:top w:val="nil"/>
                <w:left w:val="nil"/>
                <w:bottom w:val="nil"/>
                <w:right w:val="nil"/>
                <w:between w:val="nil"/>
              </w:pBdr>
              <w:spacing w:after="0" w:line="240" w:lineRule="auto"/>
              <w:ind w:right="-65"/>
              <w:jc w:val="center"/>
              <w:rPr>
                <w:rFonts w:ascii="PT Astra Serif" w:hAnsi="PT Astra Serif" w:cs="PT Astra Serif"/>
                <w:b/>
                <w:bCs/>
                <w:sz w:val="20"/>
                <w:szCs w:val="20"/>
              </w:rPr>
            </w:pPr>
            <w:r w:rsidRPr="00A162C0">
              <w:rPr>
                <w:rFonts w:ascii="PT Astra Serif" w:eastAsia="PT Astra Serif" w:hAnsi="PT Astra Serif" w:cs="PT Astra Serif"/>
                <w:b/>
                <w:bCs/>
                <w:sz w:val="20"/>
                <w:szCs w:val="20"/>
                <w:lang w:eastAsia="ru-RU"/>
              </w:rPr>
              <w:t>Количество</w:t>
            </w:r>
          </w:p>
        </w:tc>
        <w:tc>
          <w:tcPr>
            <w:tcW w:w="978" w:type="dxa"/>
            <w:vMerge w:val="restart"/>
            <w:vAlign w:val="center"/>
          </w:tcPr>
          <w:p w:rsidR="001D31B3" w:rsidRPr="00A162C0">
            <w:pPr>
              <w:jc w:val="center"/>
              <w:rPr>
                <w:rFonts w:ascii="PT Astra Serif" w:hAnsi="PT Astra Serif" w:cs="PT Astra Serif"/>
                <w:b/>
                <w:bCs/>
                <w:sz w:val="20"/>
                <w:szCs w:val="20"/>
              </w:rPr>
            </w:pPr>
            <w:r w:rsidRPr="00A162C0">
              <w:rPr>
                <w:rFonts w:ascii="PT Astra Serif" w:eastAsia="PT Astra Serif" w:hAnsi="PT Astra Serif" w:cs="PT Astra Serif"/>
                <w:b/>
                <w:bCs/>
                <w:sz w:val="20"/>
                <w:szCs w:val="20"/>
              </w:rPr>
              <w:t>Единица измерения</w:t>
            </w:r>
          </w:p>
          <w:p w:rsidR="001D31B3" w:rsidRPr="00A162C0">
            <w:pPr>
              <w:widowControl w:val="0"/>
              <w:pBdr>
                <w:top w:val="nil"/>
                <w:left w:val="nil"/>
                <w:bottom w:val="nil"/>
                <w:right w:val="nil"/>
                <w:between w:val="nil"/>
              </w:pBdr>
              <w:spacing w:after="0" w:line="240" w:lineRule="auto"/>
              <w:ind w:left="-108" w:right="-108"/>
              <w:jc w:val="center"/>
              <w:rPr>
                <w:rFonts w:ascii="PT Astra Serif" w:hAnsi="PT Astra Serif" w:cs="PT Astra Serif"/>
                <w:b/>
                <w:bCs/>
                <w:sz w:val="20"/>
                <w:szCs w:val="20"/>
              </w:rPr>
            </w:pPr>
          </w:p>
        </w:tc>
      </w:tr>
      <w:tr>
        <w:tblPrEx>
          <w:tblW w:w="4848" w:type="pct"/>
          <w:jc w:val="center"/>
          <w:tblLayout w:type="fixed"/>
          <w:tblLook w:val="0000"/>
        </w:tblPrEx>
        <w:trPr>
          <w:trHeight w:val="784"/>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c>
          <w:tcPr>
            <w:tcW w:w="2085" w:type="dxa"/>
            <w:vAlign w:val="center"/>
          </w:tcPr>
          <w:p w:rsidR="001D31B3" w:rsidRPr="00A162C0">
            <w:pPr>
              <w:widowControl w:val="0"/>
              <w:spacing w:after="0" w:line="240" w:lineRule="auto"/>
              <w:jc w:val="center"/>
              <w:rPr>
                <w:rFonts w:ascii="PT Astra Serif" w:hAnsi="PT Astra Serif" w:cs="PT Astra Serif"/>
                <w:b/>
                <w:sz w:val="20"/>
                <w:szCs w:val="20"/>
              </w:rPr>
            </w:pPr>
            <w:r w:rsidRPr="00A162C0">
              <w:rPr>
                <w:rFonts w:ascii="PT Astra Serif" w:eastAsia="PT Astra Serif" w:hAnsi="PT Astra Serif" w:cs="PT Astra Serif"/>
                <w:b/>
                <w:sz w:val="20"/>
                <w:szCs w:val="20"/>
              </w:rPr>
              <w:t>Наименование характеристики</w:t>
            </w:r>
          </w:p>
        </w:tc>
        <w:tc>
          <w:tcPr>
            <w:tcW w:w="1945" w:type="dxa"/>
            <w:vAlign w:val="center"/>
          </w:tcPr>
          <w:p w:rsidR="001D31B3" w:rsidRPr="00A162C0">
            <w:pPr>
              <w:widowControl w:val="0"/>
              <w:spacing w:after="0" w:line="240" w:lineRule="auto"/>
              <w:ind w:right="-59"/>
              <w:jc w:val="center"/>
              <w:rPr>
                <w:rFonts w:ascii="PT Astra Serif" w:hAnsi="PT Astra Serif" w:cs="PT Astra Serif"/>
                <w:b/>
                <w:sz w:val="20"/>
                <w:szCs w:val="20"/>
              </w:rPr>
            </w:pPr>
            <w:r w:rsidRPr="00A162C0">
              <w:rPr>
                <w:rFonts w:ascii="PT Astra Serif" w:eastAsia="PT Astra Serif" w:hAnsi="PT Astra Serif" w:cs="PT Astra Serif"/>
                <w:b/>
                <w:sz w:val="20"/>
                <w:szCs w:val="20"/>
              </w:rPr>
              <w:t>Значение характеристики</w:t>
            </w:r>
          </w:p>
        </w:tc>
        <w:tc>
          <w:tcPr>
            <w:tcW w:w="2256" w:type="dxa"/>
            <w:vAlign w:val="center"/>
          </w:tcPr>
          <w:p w:rsidR="001D31B3" w:rsidRPr="00A162C0">
            <w:pPr>
              <w:widowControl w:val="0"/>
              <w:spacing w:after="0" w:line="240" w:lineRule="auto"/>
              <w:jc w:val="center"/>
              <w:rPr>
                <w:rFonts w:ascii="PT Astra Serif" w:hAnsi="PT Astra Serif" w:cs="PT Astra Serif"/>
                <w:b/>
                <w:sz w:val="20"/>
                <w:szCs w:val="20"/>
              </w:rPr>
            </w:pPr>
            <w:r w:rsidRPr="00A162C0">
              <w:rPr>
                <w:rFonts w:ascii="PT Astra Serif" w:eastAsia="PT Astra Serif" w:hAnsi="PT Astra Serif" w:cs="PT Astra Serif"/>
                <w:b/>
                <w:sz w:val="20"/>
                <w:szCs w:val="20"/>
              </w:rPr>
              <w:t>Единица измерения характеристики</w:t>
            </w:r>
          </w:p>
        </w:tc>
        <w:tc>
          <w:tcPr>
            <w:tcW w:w="1717" w:type="dxa"/>
            <w:vAlign w:val="center"/>
          </w:tcPr>
          <w:p w:rsidR="001D31B3" w:rsidRPr="00A162C0">
            <w:pPr>
              <w:widowControl w:val="0"/>
              <w:spacing w:after="0" w:line="240" w:lineRule="auto"/>
              <w:jc w:val="center"/>
              <w:rPr>
                <w:rFonts w:ascii="PT Astra Serif" w:hAnsi="PT Astra Serif" w:cs="PT Astra Serif"/>
                <w:sz w:val="20"/>
                <w:szCs w:val="20"/>
              </w:rPr>
            </w:pPr>
            <w:r w:rsidRPr="00A162C0">
              <w:rPr>
                <w:rFonts w:ascii="PT Astra Serif" w:eastAsia="PT Astra Serif" w:hAnsi="PT Astra Serif" w:cs="PT Astra Serif"/>
                <w:b/>
                <w:bCs/>
                <w:sz w:val="20"/>
                <w:szCs w:val="20"/>
              </w:rPr>
              <w:t>Инструкция по заполнению характеристик в заявке</w:t>
            </w:r>
            <w:r>
              <w:rPr>
                <w:rStyle w:val="a8"/>
                <w:rFonts w:ascii="PT Astra Serif" w:eastAsia="PT Astra Serif" w:hAnsi="PT Astra Serif" w:cs="PT Astra Serif"/>
                <w:b/>
                <w:bCs/>
                <w:sz w:val="20"/>
                <w:szCs w:val="20"/>
              </w:rPr>
              <w:footnoteReference w:id="3"/>
            </w:r>
          </w:p>
        </w:tc>
        <w:tc>
          <w:tcPr>
            <w:tcW w:w="963"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r>
      <w:tr>
        <w:tblPrEx>
          <w:tblW w:w="4848" w:type="pct"/>
          <w:jc w:val="center"/>
          <w:tblLayout w:type="fixed"/>
          <w:tblLook w:val="0000"/>
        </w:tblPrEx>
        <w:trPr>
          <w:trHeight w:val="538"/>
          <w:jc w:val="center"/>
        </w:trPr>
        <w:tc>
          <w:tcPr>
            <w:tcW w:w="1579" w:type="dxa"/>
            <w:vMerge w:val="restart"/>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bCs/>
                <w:sz w:val="20"/>
                <w:szCs w:val="20"/>
              </w:rPr>
            </w:pPr>
            <w:r w:rsidRPr="00A162C0">
              <w:rPr>
                <w:rFonts w:ascii="PT Astra Serif" w:eastAsia="PT Astra Serif" w:hAnsi="PT Astra Serif" w:cs="PT Astra Serif"/>
                <w:sz w:val="20"/>
                <w:szCs w:val="20"/>
                <w:lang w:eastAsia="ru-RU"/>
              </w:rPr>
              <w:t>Аппаратно-программный модуль доверенной загрузки</w:t>
            </w:r>
          </w:p>
        </w:tc>
        <w:tc>
          <w:tcPr>
            <w:tcW w:w="1419" w:type="dxa"/>
            <w:vMerge w:val="restart"/>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bCs/>
                <w:color w:val="000000"/>
                <w:sz w:val="20"/>
                <w:szCs w:val="20"/>
              </w:rPr>
            </w:pPr>
            <w:r w:rsidRPr="00A162C0">
              <w:rPr>
                <w:rFonts w:ascii="PT Astra Serif" w:eastAsia="PT Astra Serif" w:hAnsi="PT Astra Serif" w:cs="PT Astra Serif"/>
                <w:sz w:val="20"/>
                <w:szCs w:val="20"/>
              </w:rPr>
              <w:t>26.20.40.140-000000__</w:t>
            </w:r>
            <w:r>
              <w:rPr>
                <w:rStyle w:val="FootnoteReference"/>
                <w:rFonts w:ascii="PT Astra Serif" w:eastAsia="PT Astra Serif" w:hAnsi="PT Astra Serif" w:cs="PT Astra Serif"/>
                <w:sz w:val="20"/>
                <w:szCs w:val="20"/>
              </w:rPr>
              <w:footnoteReference w:id="4"/>
            </w:r>
          </w:p>
        </w:tc>
        <w:tc>
          <w:tcPr>
            <w:tcW w:w="1669" w:type="dxa"/>
            <w:vMerge w:val="restart"/>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sz w:val="20"/>
                <w:szCs w:val="20"/>
              </w:rPr>
            </w:pPr>
            <w:r w:rsidRPr="00A162C0">
              <w:rPr>
                <w:rFonts w:ascii="PT Astra Serif" w:eastAsia="PT Astra Serif" w:hAnsi="PT Astra Serif" w:cs="PT Astra Serif"/>
                <w:sz w:val="20"/>
                <w:szCs w:val="20"/>
              </w:rPr>
              <w:t>26.20.40.140</w:t>
            </w:r>
          </w:p>
        </w:tc>
        <w:tc>
          <w:tcPr>
            <w:tcW w:w="2085" w:type="dxa"/>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sz w:val="20"/>
                <w:szCs w:val="20"/>
              </w:rPr>
            </w:pPr>
            <w:r w:rsidRPr="00A162C0">
              <w:rPr>
                <w:rFonts w:ascii="PT Astra Serif" w:eastAsia="PT Astra Serif" w:hAnsi="PT Astra Serif" w:cs="PT Astra Serif"/>
                <w:color w:val="000000"/>
                <w:sz w:val="20"/>
                <w:szCs w:val="20"/>
                <w:lang w:eastAsia="ru-RU"/>
              </w:rPr>
              <w:t>Разъем для подключения*</w:t>
            </w:r>
          </w:p>
        </w:tc>
        <w:tc>
          <w:tcPr>
            <w:tcW w:w="1945" w:type="dxa"/>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shd w:val="clear" w:color="FFFFFF" w:fill="FFFFFF"/>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shd w:val="clear" w:color="FFFFFF" w:fill="FFFFFF"/>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val="restart"/>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bCs/>
                <w:sz w:val="20"/>
                <w:szCs w:val="20"/>
              </w:rPr>
            </w:pPr>
          </w:p>
        </w:tc>
        <w:tc>
          <w:tcPr>
            <w:tcW w:w="978" w:type="dxa"/>
            <w:vMerge w:val="restart"/>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sz w:val="20"/>
                <w:szCs w:val="20"/>
              </w:rPr>
            </w:pPr>
            <w:r w:rsidRPr="00A162C0">
              <w:rPr>
                <w:rFonts w:ascii="PT Astra Serif" w:hAnsi="PT Astra Serif" w:cs="PT Astra Serif"/>
                <w:sz w:val="20"/>
                <w:szCs w:val="20"/>
              </w:rPr>
              <w:t>Штука</w:t>
            </w:r>
          </w:p>
        </w:tc>
      </w:tr>
      <w:tr>
        <w:tblPrEx>
          <w:tblW w:w="4848" w:type="pct"/>
          <w:jc w:val="center"/>
          <w:tblLayout w:type="fixed"/>
          <w:tblLook w:val="0000"/>
        </w:tblPrEx>
        <w:trPr>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shd w:val="clear" w:color="auto" w:fill="auto"/>
          </w:tcPr>
          <w:p w:rsidR="001D31B3" w:rsidRPr="00A162C0">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2085" w:type="dxa"/>
            <w:shd w:val="clear" w:color="auto" w:fill="auto"/>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sz w:val="20"/>
                <w:szCs w:val="20"/>
              </w:rPr>
            </w:pPr>
            <w:r w:rsidRPr="00A162C0">
              <w:rPr>
                <w:rFonts w:ascii="PT Astra Serif" w:eastAsia="PT Astra Serif" w:hAnsi="PT Astra Serif" w:cs="PT Astra Serif"/>
                <w:sz w:val="20"/>
                <w:szCs w:val="20"/>
                <w:lang w:eastAsia="ru-RU"/>
              </w:rPr>
              <w:t>Аппаратная блокировка включения электропитания</w:t>
            </w:r>
          </w:p>
        </w:tc>
        <w:tc>
          <w:tcPr>
            <w:tcW w:w="1945" w:type="dxa"/>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shd w:val="clear" w:color="FFFFFF" w:fill="FFFFFF"/>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shd w:val="clear" w:color="FFFFFF" w:fill="FFFFFF"/>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r>
      <w:tr>
        <w:tblPrEx>
          <w:tblW w:w="4848" w:type="pct"/>
          <w:jc w:val="center"/>
          <w:tblLayout w:type="fixed"/>
          <w:tblLook w:val="0000"/>
        </w:tblPrEx>
        <w:trPr>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shd w:val="clear" w:color="auto" w:fill="auto"/>
          </w:tcPr>
          <w:p w:rsidR="001D31B3" w:rsidRPr="00A162C0">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2085" w:type="dxa"/>
            <w:shd w:val="clear" w:color="auto" w:fill="auto"/>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sz w:val="20"/>
                <w:szCs w:val="20"/>
              </w:rPr>
            </w:pPr>
            <w:r w:rsidRPr="00A162C0">
              <w:rPr>
                <w:rFonts w:ascii="PT Astra Serif" w:eastAsia="PT Astra Serif" w:hAnsi="PT Astra Serif" w:cs="PT Astra Serif"/>
                <w:sz w:val="20"/>
                <w:szCs w:val="20"/>
                <w:lang w:eastAsia="ru-RU"/>
              </w:rPr>
              <w:t>Блокировка загрузки ОС с внешних источников</w:t>
            </w:r>
          </w:p>
        </w:tc>
        <w:tc>
          <w:tcPr>
            <w:tcW w:w="1945" w:type="dxa"/>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shd w:val="clear" w:color="FFFFFF" w:fill="FFFFFF"/>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shd w:val="clear" w:color="FFFFFF" w:fill="FFFFFF"/>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shd w:val="clear" w:color="auto" w:fill="auto"/>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r>
      <w:tr>
        <w:tblPrEx>
          <w:tblW w:w="4848" w:type="pct"/>
          <w:jc w:val="center"/>
          <w:tblLayout w:type="fixed"/>
          <w:tblLook w:val="0000"/>
        </w:tblPrEx>
        <w:trPr>
          <w:trHeight w:val="273"/>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shd w:val="clear" w:color="auto" w:fill="auto"/>
          </w:tcPr>
          <w:p w:rsidR="001D31B3" w:rsidRPr="00A162C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2085" w:type="dxa"/>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color w:val="000000"/>
                <w:sz w:val="20"/>
                <w:szCs w:val="20"/>
              </w:rPr>
            </w:pPr>
            <w:r w:rsidRPr="00A162C0">
              <w:rPr>
                <w:rFonts w:ascii="PT Astra Serif" w:eastAsia="PT Astra Serif" w:hAnsi="PT Astra Serif" w:cs="PT Astra Serif"/>
                <w:sz w:val="20"/>
                <w:szCs w:val="20"/>
                <w:lang w:eastAsia="ru-RU"/>
              </w:rPr>
              <w:t>Контроль BIOS</w:t>
            </w:r>
          </w:p>
        </w:tc>
        <w:tc>
          <w:tcPr>
            <w:tcW w:w="1945"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val="en-US"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val="en-US" w:eastAsia="ru-RU"/>
              </w:rPr>
            </w:pPr>
          </w:p>
        </w:tc>
      </w:tr>
      <w:tr>
        <w:tblPrEx>
          <w:tblW w:w="4848" w:type="pct"/>
          <w:jc w:val="center"/>
          <w:tblLayout w:type="fixed"/>
          <w:tblLook w:val="0000"/>
        </w:tblPrEx>
        <w:trPr>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US"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val="en-US" w:eastAsia="ru-RU"/>
              </w:rPr>
            </w:pPr>
          </w:p>
        </w:tc>
        <w:tc>
          <w:tcPr>
            <w:tcW w:w="1669" w:type="dxa"/>
            <w:vMerge/>
            <w:shd w:val="clear" w:color="auto" w:fill="auto"/>
          </w:tcPr>
          <w:p w:rsidR="001D31B3" w:rsidRPr="00A162C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eastAsia="ru-RU"/>
              </w:rPr>
            </w:pPr>
          </w:p>
        </w:tc>
        <w:tc>
          <w:tcPr>
            <w:tcW w:w="2085" w:type="dxa"/>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color w:val="000000"/>
                <w:sz w:val="20"/>
                <w:szCs w:val="20"/>
              </w:rPr>
            </w:pPr>
            <w:r w:rsidRPr="00A162C0">
              <w:rPr>
                <w:rFonts w:ascii="PT Astra Serif" w:eastAsia="PT Astra Serif" w:hAnsi="PT Astra Serif" w:cs="PT Astra Serif"/>
                <w:sz w:val="20"/>
                <w:szCs w:val="20"/>
                <w:lang w:eastAsia="ru-RU"/>
              </w:rPr>
              <w:t>Наличие дополнительной энергозависимой памяти</w:t>
            </w:r>
          </w:p>
        </w:tc>
        <w:tc>
          <w:tcPr>
            <w:tcW w:w="1945"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r>
      <w:tr>
        <w:tblPrEx>
          <w:tblW w:w="4848" w:type="pct"/>
          <w:jc w:val="center"/>
          <w:tblLayout w:type="fixed"/>
          <w:tblLook w:val="0000"/>
        </w:tblPrEx>
        <w:trPr>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tcPr>
          <w:p w:rsidR="001D31B3" w:rsidRPr="00A162C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2085" w:type="dxa"/>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color w:val="000000"/>
                <w:sz w:val="20"/>
                <w:szCs w:val="20"/>
              </w:rPr>
            </w:pPr>
            <w:r w:rsidRPr="00A162C0">
              <w:rPr>
                <w:rFonts w:ascii="PT Astra Serif" w:eastAsia="PT Astra Serif" w:hAnsi="PT Astra Serif" w:cs="PT Astra Serif"/>
                <w:color w:val="000000"/>
                <w:sz w:val="20"/>
                <w:szCs w:val="20"/>
                <w:lang w:eastAsia="ru-RU"/>
              </w:rPr>
              <w:t>Объем встроенной энергозависимой памяти</w:t>
            </w:r>
          </w:p>
        </w:tc>
        <w:tc>
          <w:tcPr>
            <w:tcW w:w="1945"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rPr>
            </w:pPr>
            <w:r w:rsidRPr="00A162C0">
              <w:rPr>
                <w:rFonts w:ascii="PT Astra Serif" w:eastAsia="PT Astra Serif" w:hAnsi="PT Astra Serif" w:cs="PT Astra Serif"/>
                <w:color w:val="000000"/>
                <w:sz w:val="20"/>
                <w:szCs w:val="20"/>
                <w:lang w:eastAsia="ru-RU"/>
              </w:rPr>
              <w:t>Мегабайт</w:t>
            </w:r>
          </w:p>
        </w:tc>
        <w:tc>
          <w:tcPr>
            <w:tcW w:w="1717"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r>
      <w:tr>
        <w:tblPrEx>
          <w:tblW w:w="4848" w:type="pct"/>
          <w:jc w:val="center"/>
          <w:tblLayout w:type="fixed"/>
          <w:tblLook w:val="0000"/>
        </w:tblPrEx>
        <w:trPr>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tcPr>
          <w:p w:rsidR="001D31B3" w:rsidRPr="00A162C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2085" w:type="dxa"/>
            <w:vAlign w:val="center"/>
          </w:tcPr>
          <w:p w:rsidR="001D31B3" w:rsidRPr="00A162C0">
            <w:pPr>
              <w:widowControl w:val="0"/>
              <w:pBdr>
                <w:top w:val="nil"/>
                <w:left w:val="nil"/>
                <w:bottom w:val="nil"/>
                <w:right w:val="nil"/>
                <w:between w:val="nil"/>
              </w:pBdr>
              <w:spacing w:after="0" w:line="240" w:lineRule="auto"/>
              <w:jc w:val="center"/>
              <w:rPr>
                <w:rFonts w:ascii="PT Astra Serif" w:hAnsi="PT Astra Serif" w:cs="PT Astra Serif"/>
                <w:color w:val="000000"/>
                <w:sz w:val="20"/>
                <w:szCs w:val="20"/>
              </w:rPr>
            </w:pPr>
            <w:r w:rsidRPr="00A162C0">
              <w:rPr>
                <w:rFonts w:ascii="PT Astra Serif" w:eastAsia="PT Astra Serif" w:hAnsi="PT Astra Serif" w:cs="PT Astra Serif"/>
                <w:color w:val="000000"/>
                <w:sz w:val="20"/>
                <w:szCs w:val="20"/>
                <w:lang w:eastAsia="ru-RU"/>
              </w:rPr>
              <w:t>Поддержка идентификаторов доступа</w:t>
            </w:r>
          </w:p>
        </w:tc>
        <w:tc>
          <w:tcPr>
            <w:tcW w:w="1945"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2256"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eastAsia="ru-RU"/>
              </w:rPr>
            </w:pPr>
          </w:p>
        </w:tc>
      </w:tr>
      <w:tr>
        <w:tblPrEx>
          <w:tblW w:w="4848" w:type="pct"/>
          <w:jc w:val="center"/>
          <w:tblLayout w:type="fixed"/>
          <w:tblLook w:val="0000"/>
        </w:tblPrEx>
        <w:trPr>
          <w:jc w:val="center"/>
        </w:trPr>
        <w:tc>
          <w:tcPr>
            <w:tcW w:w="157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lang w:eastAsia="ru-RU"/>
              </w:rPr>
            </w:pPr>
          </w:p>
        </w:tc>
        <w:tc>
          <w:tcPr>
            <w:tcW w:w="1419"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FF"/>
                <w:sz w:val="20"/>
                <w:szCs w:val="20"/>
                <w:lang w:eastAsia="ru-RU"/>
              </w:rPr>
            </w:pPr>
          </w:p>
        </w:tc>
        <w:tc>
          <w:tcPr>
            <w:tcW w:w="1669" w:type="dxa"/>
            <w:vMerge/>
          </w:tcPr>
          <w:p w:rsidR="001D31B3" w:rsidRPr="00A162C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eastAsia="ru-RU"/>
              </w:rPr>
            </w:pPr>
          </w:p>
        </w:tc>
        <w:tc>
          <w:tcPr>
            <w:tcW w:w="2085" w:type="dxa"/>
            <w:vAlign w:val="center"/>
          </w:tcPr>
          <w:p w:rsidR="001D31B3" w:rsidRPr="00A162C0">
            <w:pPr>
              <w:pBdr>
                <w:top w:val="nil"/>
                <w:left w:val="nil"/>
                <w:bottom w:val="nil"/>
                <w:right w:val="nil"/>
                <w:between w:val="nil"/>
              </w:pBdr>
              <w:spacing w:after="0" w:line="240" w:lineRule="auto"/>
              <w:jc w:val="center"/>
              <w:rPr>
                <w:rFonts w:ascii="PT Astra Serif" w:hAnsi="PT Astra Serif" w:cs="PT Astra Serif"/>
                <w:color w:val="000000"/>
                <w:sz w:val="20"/>
                <w:szCs w:val="20"/>
              </w:rPr>
            </w:pPr>
            <w:r w:rsidRPr="00A162C0">
              <w:rPr>
                <w:rFonts w:ascii="PT Astra Serif" w:eastAsia="PT Astra Serif" w:hAnsi="PT Astra Serif" w:cs="PT Astra Serif"/>
                <w:color w:val="000000"/>
                <w:sz w:val="20"/>
                <w:szCs w:val="20"/>
                <w:lang w:eastAsia="ru-RU"/>
              </w:rPr>
              <w:t>Поддержка файловых систем</w:t>
            </w:r>
          </w:p>
        </w:tc>
        <w:tc>
          <w:tcPr>
            <w:tcW w:w="1945" w:type="dxa"/>
            <w:vAlign w:val="center"/>
          </w:tcPr>
          <w:p w:rsidR="001D31B3" w:rsidRPr="00A162C0">
            <w:pPr>
              <w:rPr>
                <w:sz w:val="20"/>
                <w:szCs w:val="20"/>
              </w:rPr>
            </w:pPr>
          </w:p>
        </w:tc>
        <w:tc>
          <w:tcPr>
            <w:tcW w:w="2256"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1717" w:type="dxa"/>
            <w:vAlign w:val="center"/>
          </w:tcPr>
          <w:p w:rsidR="001D31B3" w:rsidRPr="00A162C0">
            <w:pPr>
              <w:widowControl w:val="0"/>
              <w:pBdr>
                <w:top w:val="nil"/>
                <w:left w:val="nil"/>
                <w:bottom w:val="nil"/>
                <w:right w:val="nil"/>
                <w:between w:val="nil"/>
              </w:pBdr>
              <w:spacing w:after="0" w:line="240" w:lineRule="auto"/>
              <w:jc w:val="center"/>
              <w:rPr>
                <w:rFonts w:ascii="PT Astra Serif" w:eastAsia="PT Astra Serif" w:hAnsi="PT Astra Serif" w:cs="PT Astra Serif"/>
                <w:color w:val="000000"/>
                <w:sz w:val="20"/>
                <w:szCs w:val="20"/>
                <w:lang w:eastAsia="ru-RU"/>
              </w:rPr>
            </w:pPr>
          </w:p>
        </w:tc>
        <w:tc>
          <w:tcPr>
            <w:tcW w:w="963"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Cs/>
                <w:sz w:val="20"/>
                <w:szCs w:val="20"/>
                <w:lang w:val="en-US" w:eastAsia="ru-RU"/>
              </w:rPr>
            </w:pPr>
          </w:p>
        </w:tc>
        <w:tc>
          <w:tcPr>
            <w:tcW w:w="978" w:type="dxa"/>
            <w:vMerge/>
            <w:vAlign w:val="center"/>
          </w:tcPr>
          <w:p w:rsidR="001D31B3" w:rsidRPr="00A162C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lang w:val="en-US" w:eastAsia="ru-RU"/>
              </w:rPr>
            </w:pPr>
          </w:p>
        </w:tc>
      </w:tr>
    </w:tbl>
    <w:p w:rsidR="001D31B3">
      <w:pPr>
        <w:pStyle w:val="ConsPlusTitle"/>
        <w:ind w:firstLine="283"/>
        <w:jc w:val="both"/>
        <w:rPr>
          <w:rFonts w:ascii="PT Astra Serif" w:hAnsi="PT Astra Serif" w:cs="PT Astra Serif"/>
          <w:color w:val="0000FF"/>
          <w:sz w:val="24"/>
          <w:szCs w:val="24"/>
        </w:rPr>
      </w:pPr>
      <w:r>
        <w:rPr>
          <w:rFonts w:ascii="PT Astra Serif" w:eastAsia="PT Astra Serif" w:hAnsi="PT Astra Serif" w:cs="PT Astra Serif"/>
          <w:i/>
          <w:color w:val="0000FF"/>
          <w:sz w:val="24"/>
          <w:szCs w:val="24"/>
        </w:rPr>
        <w:t>* характеристика, являющаяся обязательной в позиции КТРУ</w:t>
      </w:r>
    </w:p>
    <w:p w:rsidR="001D31B3">
      <w:pPr>
        <w:widowControl w:val="0"/>
        <w:pBdr>
          <w:top w:val="nil"/>
          <w:left w:val="nil"/>
          <w:bottom w:val="nil"/>
          <w:right w:val="nil"/>
          <w:between w:val="nil"/>
        </w:pBdr>
        <w:spacing w:after="0" w:line="240" w:lineRule="auto"/>
        <w:ind w:firstLine="567"/>
        <w:jc w:val="both"/>
        <w:rPr>
          <w:rFonts w:ascii="PT Astra Serif" w:hAnsi="PT Astra Serif" w:cs="PT Astra Serif"/>
          <w:b/>
          <w:bCs/>
          <w:sz w:val="24"/>
          <w:szCs w:val="24"/>
        </w:rPr>
      </w:pPr>
    </w:p>
    <w:p w:rsidR="001D31B3" w:rsidRPr="00D1148D" w:rsidP="00D1148D">
      <w:pPr>
        <w:widowControl w:val="0"/>
        <w:pBdr>
          <w:top w:val="nil"/>
          <w:left w:val="nil"/>
          <w:bottom w:val="nil"/>
          <w:right w:val="nil"/>
          <w:between w:val="nil"/>
        </w:pBdr>
        <w:spacing w:after="0" w:line="240" w:lineRule="auto"/>
        <w:jc w:val="both"/>
        <w:rPr>
          <w:rFonts w:ascii="PT Astra Serif" w:hAnsi="PT Astra Serif" w:cs="PT Astra Serif"/>
          <w:bCs/>
          <w:i/>
          <w:color w:val="0000FF"/>
          <w:sz w:val="24"/>
          <w:szCs w:val="24"/>
          <w:highlight w:val="yellow"/>
        </w:rPr>
      </w:pPr>
      <w:r>
        <w:rPr>
          <w:rFonts w:ascii="PT Astra Serif" w:eastAsia="PT Astra Serif" w:hAnsi="PT Astra Serif" w:cs="PT Astra Serif"/>
          <w:b/>
          <w:sz w:val="24"/>
          <w:szCs w:val="24"/>
          <w:lang w:eastAsia="ru-RU"/>
        </w:rPr>
        <w:t xml:space="preserve">            </w:t>
      </w:r>
      <w:r w:rsidRPr="00D1148D" w:rsidR="00904157">
        <w:rPr>
          <w:rFonts w:ascii="PT Astra Serif" w:eastAsia="PT Astra Serif" w:hAnsi="PT Astra Serif" w:cs="PT Astra Serif"/>
          <w:b/>
          <w:sz w:val="24"/>
          <w:szCs w:val="24"/>
          <w:lang w:eastAsia="ru-RU"/>
        </w:rPr>
        <w:t xml:space="preserve">3. </w:t>
      </w:r>
      <w:r w:rsidRPr="00D1148D" w:rsidR="00904157">
        <w:rPr>
          <w:rFonts w:ascii="PT Astra Serif" w:eastAsia="PT Astra Serif" w:hAnsi="PT Astra Serif" w:cs="PT Astra Serif"/>
          <w:b/>
          <w:sz w:val="24"/>
          <w:szCs w:val="24"/>
        </w:rPr>
        <w:t>Качество товара</w:t>
      </w:r>
      <w:r w:rsidRPr="00D1148D" w:rsidR="00904157">
        <w:rPr>
          <w:rFonts w:ascii="PT Astra Serif" w:eastAsia="PT Astra Serif" w:hAnsi="PT Astra Serif" w:cs="PT Astra Serif"/>
          <w:b/>
          <w:sz w:val="24"/>
          <w:szCs w:val="24"/>
          <w:lang w:eastAsia="ru-RU"/>
        </w:rPr>
        <w:t>:</w:t>
      </w:r>
      <w:r w:rsidRPr="00D1148D" w:rsidR="00904157">
        <w:rPr>
          <w:rFonts w:ascii="PT Astra Serif" w:eastAsia="PT Astra Serif" w:hAnsi="PT Astra Serif" w:cs="PT Astra Serif"/>
          <w:b/>
          <w:bCs/>
          <w:sz w:val="24"/>
          <w:szCs w:val="24"/>
          <w:highlight w:val="yellow"/>
          <w:vertAlign w:val="superscript"/>
          <w:lang w:eastAsia="ru-RU"/>
        </w:rPr>
        <w:t xml:space="preserve"> </w:t>
      </w:r>
    </w:p>
    <w:p w:rsidR="001D31B3"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cs="PT Astra Serif"/>
          <w:sz w:val="24"/>
          <w:szCs w:val="24"/>
        </w:rPr>
      </w:pPr>
      <w:r w:rsidRPr="00D1148D">
        <w:rPr>
          <w:rFonts w:ascii="PT Astra Serif" w:hAnsi="PT Astra Serif" w:cs="PT Astra Serif"/>
          <w:sz w:val="24"/>
          <w:szCs w:val="24"/>
        </w:rPr>
        <w:t>3.1.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 Решению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 Решению Комиссии Таможенного союза от 16.08.2011 № 768 «О принятии технического регламента Таможенного союза «О безопасности низковольтного оборудования»;</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 Решению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3.2.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Год выпуска товара не ранее ______ года.</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3.3. Маркировка должна быть нанесена на упаковку (тару) товара в соответствии с требованиями законодательства Российской Федерации.</w:t>
      </w:r>
    </w:p>
    <w:p w:rsidR="00D1148D" w:rsidRPr="000141AE" w:rsidP="00D1148D">
      <w:pPr>
        <w:widowControl w:val="0"/>
        <w:pBdr>
          <w:top w:val="nil"/>
          <w:left w:val="nil"/>
          <w:bottom w:val="nil"/>
          <w:right w:val="nil"/>
          <w:between w:val="nil"/>
        </w:pBdr>
        <w:spacing w:after="0" w:line="240" w:lineRule="auto"/>
        <w:ind w:left="142" w:firstLine="567"/>
        <w:jc w:val="both"/>
        <w:rPr>
          <w:rFonts w:ascii="PT Astra Serif" w:hAnsi="PT Astra Serif"/>
          <w:b/>
          <w:sz w:val="24"/>
          <w:szCs w:val="24"/>
        </w:rPr>
      </w:pPr>
      <w:r w:rsidRPr="000141AE">
        <w:rPr>
          <w:rFonts w:ascii="PT Astra Serif" w:hAnsi="PT Astra Serif"/>
          <w:b/>
          <w:sz w:val="24"/>
          <w:szCs w:val="24"/>
        </w:rPr>
        <w:t>4. Порядок, сроки и условия поставки товара:</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4.1. Поставщик самостоятельно доставляет товар заказчику по адресу: __________________ (далее - место поставки), в срок до _____.</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4.2. Поставщик не менее чем за ____ дней до осуществления поставки товара направляет в адрес за</w:t>
      </w:r>
      <w:r>
        <w:rPr>
          <w:rFonts w:ascii="PT Astra Serif" w:hAnsi="PT Astra Serif"/>
          <w:sz w:val="24"/>
          <w:szCs w:val="24"/>
        </w:rPr>
        <w:t xml:space="preserve">казчика уведомление о времени и </w:t>
      </w:r>
      <w:r w:rsidRPr="00D1148D">
        <w:rPr>
          <w:rFonts w:ascii="PT Astra Serif" w:hAnsi="PT Astra Serif"/>
          <w:sz w:val="24"/>
          <w:szCs w:val="24"/>
        </w:rPr>
        <w:t>дате доставки товара в место поставки.</w:t>
      </w:r>
    </w:p>
    <w:p w:rsidR="00D1148D" w:rsidRPr="0008093A"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08093A">
        <w:rPr>
          <w:rFonts w:ascii="PT Astra Serif" w:hAnsi="PT Astra Serif"/>
          <w:sz w:val="24"/>
          <w:szCs w:val="24"/>
        </w:rPr>
        <w:t>4.3. Поставщик при передаче товара обязан предоставить заказчику следующие документы:</w:t>
      </w:r>
    </w:p>
    <w:p w:rsidR="00D1148D" w:rsidRPr="0008093A"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08093A">
        <w:rPr>
          <w:rFonts w:ascii="PT Astra Serif" w:hAnsi="PT Astra Serif"/>
          <w:sz w:val="24"/>
          <w:szCs w:val="24"/>
        </w:rPr>
        <w:t xml:space="preserve">- комплект </w:t>
      </w:r>
      <w:r w:rsidRPr="0008093A" w:rsidR="00AC4F37">
        <w:rPr>
          <w:rFonts w:ascii="PT Astra Serif" w:hAnsi="PT Astra Serif"/>
          <w:sz w:val="24"/>
          <w:szCs w:val="24"/>
        </w:rPr>
        <w:t>эксплуатационной документации (</w:t>
      </w:r>
      <w:r w:rsidRPr="0008093A">
        <w:rPr>
          <w:rFonts w:ascii="PT Astra Serif" w:hAnsi="PT Astra Serif"/>
          <w:sz w:val="24"/>
          <w:szCs w:val="24"/>
        </w:rPr>
        <w:t>руководство по установке, руководство администратора и руководство пользователя);</w:t>
      </w:r>
    </w:p>
    <w:p w:rsidR="00D1148D" w:rsidRPr="0008093A"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08093A">
        <w:rPr>
          <w:rFonts w:ascii="PT Astra Serif" w:hAnsi="PT Astra Serif"/>
          <w:sz w:val="24"/>
          <w:szCs w:val="24"/>
        </w:rPr>
        <w:t>- формуляр (паспорт);</w:t>
      </w:r>
    </w:p>
    <w:p w:rsid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Pr>
          <w:rFonts w:ascii="PT Astra Serif" w:hAnsi="PT Astra Serif"/>
          <w:sz w:val="24"/>
          <w:szCs w:val="24"/>
        </w:rPr>
        <w:t>- счет и счет-фактуру</w:t>
      </w:r>
      <w:r w:rsidRPr="0008093A">
        <w:rPr>
          <w:rFonts w:ascii="PT Astra Serif" w:hAnsi="PT Astra Serif"/>
          <w:sz w:val="24"/>
          <w:szCs w:val="24"/>
        </w:rPr>
        <w:t xml:space="preserve"> (при необходимости);</w:t>
      </w:r>
    </w:p>
    <w:p w:rsidR="005F1D3D" w:rsidRPr="005F1D3D" w:rsidP="005F1D3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Pr>
          <w:rFonts w:ascii="PT Astra Serif" w:hAnsi="PT Astra Serif"/>
          <w:sz w:val="24"/>
          <w:szCs w:val="24"/>
        </w:rPr>
        <w:t>- копию</w:t>
      </w:r>
      <w:r w:rsidRPr="005F1D3D">
        <w:rPr>
          <w:rFonts w:ascii="PT Astra Serif" w:hAnsi="PT Astra Serif"/>
          <w:sz w:val="24"/>
          <w:szCs w:val="24"/>
        </w:rPr>
        <w:t xml:space="preserve"> сертификата ФСТЭК России, подтверждающий соответствие требованиям руководящих документов к средствам доверенной </w:t>
      </w:r>
      <w:r w:rsidRPr="005F1D3D">
        <w:rPr>
          <w:rFonts w:ascii="PT Astra Serif" w:hAnsi="PT Astra Serif"/>
          <w:sz w:val="24"/>
          <w:szCs w:val="24"/>
        </w:rPr>
        <w:t>загрузки ___________ (заполняется заказчиком);</w:t>
      </w:r>
    </w:p>
    <w:p w:rsidR="005F1D3D" w:rsidRPr="0008093A" w:rsidP="005F1D3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Pr>
          <w:rFonts w:ascii="PT Astra Serif" w:hAnsi="PT Astra Serif"/>
          <w:sz w:val="24"/>
          <w:szCs w:val="24"/>
        </w:rPr>
        <w:t>- копию</w:t>
      </w:r>
      <w:r w:rsidRPr="005F1D3D">
        <w:rPr>
          <w:rFonts w:ascii="PT Astra Serif" w:hAnsi="PT Astra Serif"/>
          <w:sz w:val="24"/>
          <w:szCs w:val="24"/>
        </w:rPr>
        <w:t xml:space="preserve"> сертификата ФСБ России, подтверждающий соответствие требованиям к аппаратно-программным модулям доверенной загрузки ЭВМ класса не ниже 3Б и возможность использования для защиты от несанкционированного доступа к информации, не содержащей сведений, составляющих государственную тайну</w:t>
      </w:r>
      <w:r w:rsidR="000E0DAC">
        <w:rPr>
          <w:rFonts w:ascii="PT Astra Serif" w:hAnsi="PT Astra Serif"/>
          <w:sz w:val="24"/>
          <w:szCs w:val="24"/>
        </w:rPr>
        <w:t>;</w:t>
      </w:r>
      <w:bookmarkStart w:id="0" w:name="_GoBack"/>
      <w:bookmarkEnd w:id="0"/>
    </w:p>
    <w:p w:rsidR="00D1148D" w:rsidRPr="0008093A"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08093A">
        <w:rPr>
          <w:rFonts w:ascii="PT Astra Serif" w:hAnsi="PT Astra Serif"/>
          <w:sz w:val="24"/>
          <w:szCs w:val="24"/>
        </w:rPr>
        <w:t>- документы по гарантийному обслуживанию (с указанием срока гарантии).</w:t>
      </w:r>
    </w:p>
    <w:p w:rsidR="00D1148D" w:rsidRPr="00F67BA0"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F67BA0">
        <w:rPr>
          <w:rFonts w:ascii="PT Astra Serif" w:hAnsi="PT Astra Serif"/>
          <w:sz w:val="24"/>
          <w:szCs w:val="24"/>
        </w:rPr>
        <w:t>4.4. Поставка аппаратно-программного модуля доверенной загрузки включает в себя:</w:t>
      </w:r>
    </w:p>
    <w:p w:rsidR="00D1148D" w:rsidRPr="00F67BA0"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F67BA0">
        <w:rPr>
          <w:rFonts w:ascii="PT Astra Serif" w:hAnsi="PT Astra Serif"/>
          <w:sz w:val="24"/>
          <w:szCs w:val="24"/>
        </w:rPr>
        <w:t xml:space="preserve">- поставку </w:t>
      </w:r>
      <w:r w:rsidRPr="00F67BA0" w:rsidR="007F5D4A">
        <w:rPr>
          <w:rFonts w:ascii="PT Astra Serif" w:hAnsi="PT Astra Serif"/>
          <w:sz w:val="24"/>
          <w:szCs w:val="24"/>
        </w:rPr>
        <w:t>аппаратно-программного модуля доверенной загрузки</w:t>
      </w:r>
      <w:r w:rsidRPr="00F67BA0">
        <w:rPr>
          <w:rFonts w:ascii="PT Astra Serif" w:hAnsi="PT Astra Serif"/>
          <w:sz w:val="24"/>
          <w:szCs w:val="24"/>
        </w:rPr>
        <w:t>;</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F67BA0">
        <w:rPr>
          <w:rFonts w:ascii="PT Astra Serif" w:hAnsi="PT Astra Serif"/>
          <w:sz w:val="24"/>
          <w:szCs w:val="24"/>
        </w:rPr>
        <w:t>- предоставление комплекта идентификаторов в количестве ___ шт.</w:t>
      </w:r>
      <w:r w:rsidRPr="00D1148D">
        <w:rPr>
          <w:rFonts w:ascii="PT Astra Serif" w:hAnsi="PT Astra Serif"/>
          <w:sz w:val="24"/>
          <w:szCs w:val="24"/>
        </w:rPr>
        <w:t xml:space="preserve"> </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D1148D">
        <w:rPr>
          <w:rFonts w:ascii="PT Astra Serif" w:hAnsi="PT Astra Serif"/>
          <w:sz w:val="24"/>
          <w:szCs w:val="24"/>
        </w:rPr>
        <w:t xml:space="preserve">Состав и содержание эксплуатационной документации должны быть достаточны для инсталляции и обслуживания средства доверенной загрузки. </w:t>
      </w:r>
    </w:p>
    <w:p w:rsidR="00D1148D" w:rsidRPr="00783F89" w:rsidP="00D1148D">
      <w:pPr>
        <w:widowControl w:val="0"/>
        <w:pBdr>
          <w:top w:val="nil"/>
          <w:left w:val="nil"/>
          <w:bottom w:val="nil"/>
          <w:right w:val="nil"/>
          <w:between w:val="nil"/>
        </w:pBdr>
        <w:spacing w:after="0" w:line="240" w:lineRule="auto"/>
        <w:ind w:left="142" w:firstLine="567"/>
        <w:jc w:val="both"/>
        <w:rPr>
          <w:rFonts w:ascii="PT Astra Serif" w:hAnsi="PT Astra Serif"/>
          <w:b/>
          <w:sz w:val="24"/>
          <w:szCs w:val="24"/>
        </w:rPr>
      </w:pPr>
      <w:r w:rsidRPr="00783F89">
        <w:rPr>
          <w:rFonts w:ascii="PT Astra Serif" w:hAnsi="PT Astra Serif"/>
          <w:b/>
          <w:sz w:val="24"/>
          <w:szCs w:val="24"/>
        </w:rPr>
        <w:t>5. Требования к сертификации:</w:t>
      </w:r>
    </w:p>
    <w:p w:rsidR="00D1148D" w:rsidRPr="00783F89"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783F89">
        <w:rPr>
          <w:rFonts w:ascii="PT Astra Serif" w:hAnsi="PT Astra Serif"/>
          <w:sz w:val="24"/>
          <w:szCs w:val="24"/>
        </w:rPr>
        <w:t xml:space="preserve">5.1. </w:t>
      </w:r>
      <w:r w:rsidRPr="00783F89" w:rsidR="007F5D4A">
        <w:rPr>
          <w:rFonts w:ascii="PT Astra Serif" w:hAnsi="PT Astra Serif"/>
          <w:sz w:val="24"/>
          <w:szCs w:val="24"/>
        </w:rPr>
        <w:t xml:space="preserve">Аппаратно-программный модуль доверенной загрузки </w:t>
      </w:r>
      <w:r w:rsidRPr="00783F89" w:rsidR="003C778A">
        <w:rPr>
          <w:rFonts w:ascii="PT Astra Serif" w:hAnsi="PT Astra Serif"/>
          <w:sz w:val="24"/>
          <w:szCs w:val="24"/>
        </w:rPr>
        <w:t>долж</w:t>
      </w:r>
      <w:r w:rsidRPr="00783F89" w:rsidR="007F5D4A">
        <w:rPr>
          <w:rFonts w:ascii="PT Astra Serif" w:hAnsi="PT Astra Serif"/>
          <w:sz w:val="24"/>
          <w:szCs w:val="24"/>
        </w:rPr>
        <w:t>ен</w:t>
      </w:r>
      <w:r w:rsidRPr="00783F89">
        <w:rPr>
          <w:rFonts w:ascii="PT Astra Serif" w:hAnsi="PT Astra Serif"/>
          <w:sz w:val="24"/>
          <w:szCs w:val="24"/>
        </w:rPr>
        <w:t xml:space="preserve"> иметь действующий сертификат ФСТЭК России на соответствие требованиям следующих руководящих документов:</w:t>
      </w:r>
    </w:p>
    <w:p w:rsidR="00D1148D" w:rsidRPr="00783F89"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783F89">
        <w:rPr>
          <w:rFonts w:ascii="PT Astra Serif" w:hAnsi="PT Astra Serif"/>
          <w:sz w:val="24"/>
          <w:szCs w:val="24"/>
        </w:rPr>
        <w:t>–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2018) – по 2 уровню доверия.</w:t>
      </w:r>
    </w:p>
    <w:p w:rsidR="00D1148D" w:rsidRPr="00783F89"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783F89">
        <w:rPr>
          <w:rFonts w:ascii="PT Astra Serif" w:hAnsi="PT Astra Serif"/>
          <w:sz w:val="24"/>
          <w:szCs w:val="24"/>
        </w:rPr>
        <w:t>- «Требования к средствам доверенной загрузки» (ФСТЭК России, 2013). «Профиль защиты средства доверенной загрузки уровня платы расширения второго класса защиты. ИТ.СДЗ.ПР2.П3».</w:t>
      </w:r>
    </w:p>
    <w:p w:rsidR="00D1148D" w:rsidRPr="00D1148D" w:rsidP="00D1148D">
      <w:pPr>
        <w:widowControl w:val="0"/>
        <w:pBdr>
          <w:top w:val="nil"/>
          <w:left w:val="nil"/>
          <w:bottom w:val="nil"/>
          <w:right w:val="nil"/>
          <w:between w:val="nil"/>
        </w:pBdr>
        <w:spacing w:after="0" w:line="240" w:lineRule="auto"/>
        <w:ind w:left="142" w:firstLine="567"/>
        <w:jc w:val="both"/>
        <w:rPr>
          <w:rFonts w:ascii="PT Astra Serif" w:hAnsi="PT Astra Serif"/>
          <w:sz w:val="24"/>
          <w:szCs w:val="24"/>
        </w:rPr>
      </w:pPr>
      <w:r w:rsidRPr="00783F89">
        <w:rPr>
          <w:rFonts w:ascii="PT Astra Serif" w:hAnsi="PT Astra Serif"/>
          <w:sz w:val="24"/>
          <w:szCs w:val="24"/>
        </w:rPr>
        <w:t xml:space="preserve">5.2. </w:t>
      </w:r>
      <w:r w:rsidRPr="00783F89" w:rsidR="007F5D4A">
        <w:rPr>
          <w:rFonts w:ascii="PT Astra Serif" w:hAnsi="PT Astra Serif"/>
          <w:sz w:val="24"/>
          <w:szCs w:val="24"/>
        </w:rPr>
        <w:t xml:space="preserve">Аппаратно-программный модуль доверенной загрузки </w:t>
      </w:r>
      <w:r w:rsidRPr="00783F89" w:rsidR="003C778A">
        <w:rPr>
          <w:rFonts w:ascii="PT Astra Serif" w:hAnsi="PT Astra Serif"/>
          <w:sz w:val="24"/>
          <w:szCs w:val="24"/>
        </w:rPr>
        <w:t>долж</w:t>
      </w:r>
      <w:r w:rsidRPr="00783F89" w:rsidR="007F5D4A">
        <w:rPr>
          <w:rFonts w:ascii="PT Astra Serif" w:hAnsi="PT Astra Serif"/>
          <w:sz w:val="24"/>
          <w:szCs w:val="24"/>
        </w:rPr>
        <w:t>ен</w:t>
      </w:r>
      <w:r w:rsidRPr="00D1148D">
        <w:rPr>
          <w:rFonts w:ascii="PT Astra Serif" w:hAnsi="PT Astra Serif"/>
          <w:sz w:val="24"/>
          <w:szCs w:val="24"/>
        </w:rPr>
        <w:t xml:space="preserve"> иметь действующий сертификат ФСБ России на соответствие требованиям к аппаратно-программным модулям доверенной загрузки для класса не ниже 2Б.</w:t>
      </w:r>
    </w:p>
    <w:p w:rsidR="00D1148D" w:rsidRPr="00D1148D" w:rsidP="00D1148D">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bCs/>
          <w:sz w:val="24"/>
          <w:szCs w:val="24"/>
        </w:rPr>
        <w:t>6</w:t>
      </w:r>
      <w:r w:rsidRPr="00D1148D">
        <w:rPr>
          <w:rFonts w:ascii="PT Astra Serif" w:eastAsia="PT Astra Serif" w:hAnsi="PT Astra Serif" w:cs="PT Astra Serif"/>
          <w:b/>
          <w:bCs/>
          <w:sz w:val="24"/>
          <w:szCs w:val="24"/>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D1148D" w:rsidRPr="00D1148D" w:rsidP="00D1148D">
      <w:pPr>
        <w:widowControl w:val="0"/>
        <w:spacing w:after="0" w:line="240" w:lineRule="auto"/>
        <w:ind w:right="-147" w:firstLine="709"/>
        <w:rPr>
          <w:rFonts w:ascii="PT Astra Serif" w:hAnsi="PT Astra Serif" w:cs="PT Astra Serif"/>
          <w:sz w:val="24"/>
          <w:szCs w:val="24"/>
        </w:rPr>
      </w:pPr>
      <w:r>
        <w:rPr>
          <w:rFonts w:ascii="PT Astra Serif" w:eastAsia="PT Astra Serif" w:hAnsi="PT Astra Serif" w:cs="PT Astra Serif"/>
          <w:sz w:val="24"/>
          <w:szCs w:val="24"/>
        </w:rPr>
        <w:t>6</w:t>
      </w:r>
      <w:r w:rsidRPr="00D1148D">
        <w:rPr>
          <w:rFonts w:ascii="PT Astra Serif" w:eastAsia="PT Astra Serif" w:hAnsi="PT Astra Serif" w:cs="PT Astra Serif"/>
          <w:sz w:val="24"/>
          <w:szCs w:val="24"/>
        </w:rPr>
        <w:t>.1. Поставщик гарантирует, что качество поставленного товара соответствует условиям контракта.</w:t>
      </w:r>
    </w:p>
    <w:p w:rsidR="00D1148D" w:rsidRPr="00D1148D" w:rsidP="00D1148D">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6</w:t>
      </w:r>
      <w:r w:rsidRPr="00D1148D">
        <w:rPr>
          <w:rFonts w:ascii="PT Astra Serif" w:eastAsia="PT Astra Serif" w:hAnsi="PT Astra Serif" w:cs="PT Astra Serif"/>
          <w:sz w:val="24"/>
          <w:szCs w:val="24"/>
        </w:rPr>
        <w:t>.2. Гарантийный срок составляет не менее ______ месяцев со дня подписания сторонами документа о приемке.</w:t>
      </w:r>
      <w:r>
        <w:rPr>
          <w:rStyle w:val="FootnoteReference"/>
          <w:rFonts w:ascii="PT Astra Serif" w:eastAsia="PT Astra Serif" w:hAnsi="PT Astra Serif" w:cs="PT Astra Serif"/>
          <w:b/>
          <w:bCs/>
          <w:sz w:val="24"/>
          <w:szCs w:val="24"/>
        </w:rPr>
        <w:footnoteReference w:id="5"/>
      </w:r>
    </w:p>
    <w:p w:rsidR="00D1148D" w:rsidRPr="00D1148D" w:rsidP="00D1148D">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6</w:t>
      </w:r>
      <w:r w:rsidRPr="00D1148D">
        <w:rPr>
          <w:rFonts w:ascii="PT Astra Serif" w:eastAsia="PT Astra Serif" w:hAnsi="PT Astra Serif" w:cs="PT Astra Serif"/>
          <w:sz w:val="24"/>
          <w:szCs w:val="24"/>
        </w:rPr>
        <w:t>.3.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D1148D" w:rsidRPr="00D1148D" w:rsidP="00D1148D">
      <w:pPr>
        <w:pStyle w:val="ListParagraph"/>
        <w:widowControl w:val="0"/>
        <w:shd w:val="clear" w:color="auto" w:fill="FFFFFF"/>
        <w:spacing w:after="0" w:line="240" w:lineRule="auto"/>
        <w:ind w:left="0" w:firstLine="567"/>
        <w:jc w:val="both"/>
        <w:rPr>
          <w:rFonts w:ascii="PT Astra Serif" w:hAnsi="PT Astra Serif" w:cs="PT Astra Serif"/>
          <w:sz w:val="24"/>
          <w:szCs w:val="24"/>
        </w:rPr>
      </w:pPr>
      <w:r w:rsidRPr="00D1148D">
        <w:rPr>
          <w:rFonts w:ascii="PT Astra Serif" w:eastAsia="PT Astra Serif" w:hAnsi="PT Astra Serif" w:cs="PT Astra Serif"/>
          <w:i/>
          <w:iCs/>
          <w:color w:val="0000FF"/>
          <w:sz w:val="24"/>
          <w:szCs w:val="24"/>
          <w:lang w:eastAsia="ru-RU"/>
        </w:rPr>
        <w:t>[В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r>
        <w:rPr>
          <w:rStyle w:val="FootnoteReference"/>
          <w:rFonts w:ascii="PT Astra Serif" w:eastAsia="PT Astra Serif" w:hAnsi="PT Astra Serif" w:cs="PT Astra Serif"/>
          <w:sz w:val="24"/>
          <w:szCs w:val="24"/>
        </w:rPr>
        <w:footnoteReference w:id="6"/>
      </w:r>
    </w:p>
    <w:p w:rsidR="00D1148D" w:rsidRPr="00D1148D" w:rsidP="00D1148D">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6</w:t>
      </w:r>
      <w:r w:rsidRPr="00D1148D">
        <w:rPr>
          <w:rFonts w:ascii="PT Astra Serif" w:eastAsia="PT Astra Serif" w:hAnsi="PT Astra Serif" w:cs="PT Astra Serif"/>
          <w:sz w:val="24"/>
          <w:szCs w:val="24"/>
        </w:rPr>
        <w:t>.4. В случае обнаружения заказчиком несоответствия качества товара поставщик обеспечивает гарантийное обслуживание.</w:t>
      </w:r>
    </w:p>
    <w:p w:rsidR="00D1148D" w:rsidRPr="00D1148D" w:rsidP="00D1148D">
      <w:pPr>
        <w:spacing w:after="0" w:line="240" w:lineRule="auto"/>
        <w:ind w:firstLine="709"/>
        <w:jc w:val="both"/>
        <w:rPr>
          <w:rFonts w:ascii="PT Astra Serif" w:hAnsi="PT Astra Serif" w:cs="PT Astra Serif"/>
          <w:sz w:val="24"/>
          <w:szCs w:val="24"/>
        </w:rPr>
      </w:pPr>
      <w:r w:rsidRPr="00D1148D">
        <w:rPr>
          <w:rFonts w:ascii="PT Astra Serif" w:eastAsia="PT Astra Serif" w:hAnsi="PT Astra Serif" w:cs="PT Astra Serif"/>
          <w:sz w:val="24"/>
          <w:szCs w:val="24"/>
        </w:rPr>
        <w:t xml:space="preserve">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w:t>
      </w:r>
      <w:r w:rsidRPr="00D1148D">
        <w:rPr>
          <w:rFonts w:ascii="PT Astra Serif" w:eastAsia="PT Astra Serif" w:hAnsi="PT Astra Serif" w:cs="PT Astra Serif"/>
          <w:sz w:val="24"/>
          <w:szCs w:val="24"/>
        </w:rPr>
        <w:t>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1148D" w:rsidRPr="00D1148D" w:rsidP="00D1148D">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6</w:t>
      </w:r>
      <w:r w:rsidRPr="00D1148D">
        <w:rPr>
          <w:rFonts w:ascii="PT Astra Serif" w:eastAsia="PT Astra Serif" w:hAnsi="PT Astra Serif" w:cs="PT Astra Serif"/>
          <w:sz w:val="24"/>
          <w:szCs w:val="24"/>
        </w:rPr>
        <w:t>.5. При обнаружении недостатков товара заказчик вызывает представителя поставщика. При неявке представителя поставщика в течение 3 (трех)</w:t>
      </w:r>
      <w:r>
        <w:rPr>
          <w:rStyle w:val="FootnoteReference"/>
          <w:rFonts w:ascii="PT Astra Serif" w:eastAsia="PT Astra Serif" w:hAnsi="PT Astra Serif" w:cs="PT Astra Serif"/>
          <w:sz w:val="24"/>
          <w:szCs w:val="24"/>
        </w:rPr>
        <w:footnoteReference w:id="7"/>
      </w:r>
      <w:r w:rsidRPr="00D1148D">
        <w:rPr>
          <w:rFonts w:ascii="PT Astra Serif" w:eastAsia="PT Astra Serif" w:hAnsi="PT Astra Serif" w:cs="PT Astra Serif"/>
          <w:sz w:val="24"/>
          <w:szCs w:val="24"/>
        </w:rPr>
        <w:t xml:space="preserve">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rsidR="00D1148D" w:rsidRPr="00D1148D" w:rsidP="00D1148D">
      <w:pPr>
        <w:spacing w:after="0" w:line="240" w:lineRule="auto"/>
        <w:ind w:firstLine="709"/>
        <w:jc w:val="both"/>
        <w:rPr>
          <w:rFonts w:ascii="PT Astra Serif" w:hAnsi="PT Astra Serif" w:cs="PT Astra Serif"/>
          <w:sz w:val="24"/>
          <w:szCs w:val="24"/>
        </w:rPr>
      </w:pPr>
      <w:r w:rsidRPr="00D1148D">
        <w:rPr>
          <w:rFonts w:ascii="PT Astra Serif" w:eastAsia="PT Astra Serif" w:hAnsi="PT Astra Serif" w:cs="PT Astra Serif"/>
          <w:sz w:val="24"/>
          <w:szCs w:val="24"/>
        </w:rPr>
        <w:t>Устранение недостатков товара осуществляется на основании претензии заказчика в установленный в претензии срок.</w:t>
      </w:r>
    </w:p>
    <w:p w:rsidR="00D1148D" w:rsidRPr="00D1148D" w:rsidP="00D1148D">
      <w:pPr>
        <w:spacing w:after="0" w:line="240" w:lineRule="auto"/>
        <w:ind w:firstLine="709"/>
        <w:jc w:val="both"/>
        <w:rPr>
          <w:rFonts w:ascii="PT Astra Serif" w:hAnsi="PT Astra Serif" w:cs="PT Astra Serif"/>
          <w:sz w:val="24"/>
          <w:szCs w:val="24"/>
        </w:rPr>
      </w:pPr>
      <w:r w:rsidRPr="00D1148D">
        <w:rPr>
          <w:rFonts w:ascii="PT Astra Serif" w:eastAsia="PT Astra Serif" w:hAnsi="PT Astra Serif" w:cs="PT Astra Serif"/>
          <w:sz w:val="24"/>
          <w:szCs w:val="24"/>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D1148D" w:rsidRPr="00D1148D" w:rsidP="00D1148D">
      <w:pPr>
        <w:spacing w:after="0" w:line="240" w:lineRule="auto"/>
        <w:ind w:firstLine="709"/>
        <w:jc w:val="both"/>
        <w:rPr>
          <w:rFonts w:ascii="PT Astra Serif" w:hAnsi="PT Astra Serif" w:cs="PT Astra Serif"/>
          <w:sz w:val="24"/>
          <w:szCs w:val="24"/>
        </w:rPr>
      </w:pPr>
      <w:r w:rsidRPr="00D1148D">
        <w:rPr>
          <w:rFonts w:ascii="PT Astra Serif" w:eastAsia="PT Astra Serif" w:hAnsi="PT Astra Serif" w:cs="PT Astra Serif"/>
          <w:sz w:val="24"/>
          <w:szCs w:val="24"/>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D1148D" w:rsidRPr="00D1148D" w:rsidP="00D1148D">
      <w:pPr>
        <w:widowControl w:val="0"/>
        <w:spacing w:after="0" w:line="240" w:lineRule="auto"/>
        <w:ind w:firstLine="709"/>
        <w:jc w:val="both"/>
        <w:rPr>
          <w:rFonts w:ascii="PT Astra Serif" w:hAnsi="PT Astra Serif" w:cs="PT Astra Serif"/>
          <w:sz w:val="24"/>
          <w:szCs w:val="24"/>
        </w:rPr>
      </w:pPr>
      <w:r w:rsidRPr="00D1148D">
        <w:rPr>
          <w:rFonts w:ascii="PT Astra Serif" w:eastAsia="PT Astra Serif" w:hAnsi="PT Astra Serif" w:cs="PT Astra Serif"/>
          <w:sz w:val="24"/>
          <w:szCs w:val="24"/>
        </w:rPr>
        <w:t>В течение установленного гарантийного срока все расходы, связанные с осуществлением гарантийного обслуживания товара, несет поставщик.</w:t>
      </w:r>
    </w:p>
    <w:p w:rsidR="00D1148D" w:rsidRPr="00D1148D" w:rsidP="00D1148D">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6</w:t>
      </w:r>
      <w:r w:rsidRPr="00D1148D">
        <w:rPr>
          <w:rFonts w:ascii="PT Astra Serif" w:eastAsia="PT Astra Serif" w:hAnsi="PT Astra Serif" w:cs="PT Astra Serif"/>
          <w:sz w:val="24"/>
          <w:szCs w:val="24"/>
        </w:rPr>
        <w:t>.6.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r w:rsidRPr="00D1148D">
        <w:rPr>
          <w:rFonts w:ascii="PT Astra Serif" w:eastAsia="PT Astra Serif" w:hAnsi="PT Astra Serif" w:cs="PT Astra Serif"/>
          <w:color w:val="000000"/>
          <w:sz w:val="24"/>
          <w:szCs w:val="24"/>
        </w:rPr>
        <w:t>.</w:t>
      </w:r>
    </w:p>
    <w:p w:rsidR="001D31B3">
      <w:pPr>
        <w:widowControl w:val="0"/>
        <w:pBdr>
          <w:top w:val="nil"/>
          <w:left w:val="nil"/>
          <w:bottom w:val="nil"/>
          <w:right w:val="nil"/>
          <w:between w:val="nil"/>
        </w:pBdr>
        <w:spacing w:after="0" w:line="240" w:lineRule="auto"/>
        <w:ind w:left="567" w:firstLine="567"/>
        <w:jc w:val="both"/>
        <w:rPr>
          <w:rFonts w:ascii="PT Astra Serif" w:hAnsi="PT Astra Serif" w:cs="PT Astra Serif"/>
          <w:sz w:val="24"/>
          <w:szCs w:val="24"/>
          <w:highlight w:val="yellow"/>
        </w:rPr>
      </w:pPr>
    </w:p>
    <w:p w:rsidR="008D53F5" w:rsidRPr="001C4071" w:rsidP="008D53F5">
      <w:pPr>
        <w:ind w:firstLine="709"/>
        <w:jc w:val="center"/>
        <w:rPr>
          <w:rFonts w:ascii="PT Astra Serif" w:hAnsi="PT Astra Serif" w:cs="PT Astra Serif"/>
          <w:b/>
          <w:bCs/>
          <w:color w:val="0070C0"/>
          <w:sz w:val="24"/>
          <w:szCs w:val="24"/>
        </w:rPr>
      </w:pPr>
      <w:r w:rsidRPr="001C4071">
        <w:rPr>
          <w:rFonts w:ascii="PT Astra Serif" w:eastAsia="PT Astra Serif" w:hAnsi="PT Astra Serif" w:cs="PT Astra Serif"/>
          <w:b/>
          <w:bCs/>
          <w:color w:val="0070C0"/>
          <w:sz w:val="24"/>
          <w:szCs w:val="24"/>
        </w:rPr>
        <w:t>Порядок определения инструкции по заполнению характеристик в заявке</w:t>
      </w:r>
    </w:p>
    <w:p w:rsidR="008D53F5" w:rsidRPr="001C4071" w:rsidP="008D53F5">
      <w:pPr>
        <w:pStyle w:val="ListParagraph"/>
        <w:ind w:left="0" w:firstLine="708"/>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 xml:space="preserve">В столбце </w:t>
      </w:r>
      <w:r w:rsidRPr="001C4071">
        <w:rPr>
          <w:rFonts w:ascii="PT Astra Serif" w:eastAsia="PT Astra Serif" w:hAnsi="PT Astra Serif" w:cs="PT Astra Serif"/>
          <w:b/>
          <w:bCs/>
          <w:color w:val="0070C0"/>
          <w:sz w:val="24"/>
          <w:szCs w:val="24"/>
        </w:rPr>
        <w:t xml:space="preserve">«Инструкция по заполнению характеристик в заявке» </w:t>
      </w:r>
      <w:r w:rsidRPr="001C4071">
        <w:rPr>
          <w:rFonts w:ascii="PT Astra Serif" w:eastAsia="PT Astra Serif" w:hAnsi="PT Astra Serif" w:cs="PT Astra Serif"/>
          <w:bCs/>
          <w:color w:val="0070C0"/>
          <w:sz w:val="24"/>
          <w:szCs w:val="24"/>
        </w:rPr>
        <w:t xml:space="preserve">заказчиком устанавливаются следующие инструкции: </w:t>
      </w:r>
    </w:p>
    <w:p w:rsidR="008D53F5" w:rsidRPr="001C4071" w:rsidP="008D53F5">
      <w:pPr>
        <w:pStyle w:val="ListParagraph"/>
        <w:numPr>
          <w:ilvl w:val="0"/>
          <w:numId w:val="2"/>
        </w:numPr>
        <w:spacing w:after="160" w:line="252" w:lineRule="auto"/>
        <w:ind w:left="0" w:firstLine="708"/>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инструкция</w:t>
      </w:r>
      <w:r w:rsidRPr="001C4071">
        <w:rPr>
          <w:rFonts w:ascii="PT Astra Serif" w:eastAsia="PT Astra Serif" w:hAnsi="PT Astra Serif" w:cs="PT Astra Serif"/>
          <w:bCs/>
          <w:color w:val="0070C0"/>
          <w:sz w:val="24"/>
          <w:szCs w:val="24"/>
        </w:rPr>
        <w:t xml:space="preserve"> «Значение характеристики не может изменяться участником закупки»: при установлении данной инструкции участником закупки указывается в заявке характеристика без ее изменения;</w:t>
      </w:r>
    </w:p>
    <w:p w:rsidR="008D53F5" w:rsidRPr="001C4071" w:rsidP="008D53F5">
      <w:pPr>
        <w:pStyle w:val="ListParagraph"/>
        <w:numPr>
          <w:ilvl w:val="0"/>
          <w:numId w:val="2"/>
        </w:numPr>
        <w:spacing w:after="160" w:line="252" w:lineRule="auto"/>
        <w:ind w:left="0" w:firstLine="708"/>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инструкция</w:t>
      </w:r>
      <w:r w:rsidRPr="001C4071">
        <w:rPr>
          <w:rFonts w:ascii="PT Astra Serif" w:eastAsia="PT Astra Serif" w:hAnsi="PT Astra Serif" w:cs="PT Astra Serif"/>
          <w:bCs/>
          <w:color w:val="0070C0"/>
          <w:sz w:val="24"/>
          <w:szCs w:val="24"/>
        </w:rPr>
        <w:t xml:space="preserve"> «Участник закупки указывает в заявке конкретное значение характеристики»: при установлении данной инструкции участником закупки указывается в заявке конкретное значение характеристики без использования слов «менее», «более», «не менее», «не более», «не выше», «не ниже», символов «&lt;», «&gt;», «≥», «≤» и иных подобных выражений либо обозначений, соответствующее установленному в извещении о проведении закупки значению; </w:t>
      </w:r>
    </w:p>
    <w:p w:rsidR="008D53F5" w:rsidRPr="001C4071" w:rsidP="008D53F5">
      <w:pPr>
        <w:pStyle w:val="ListParagraph"/>
        <w:numPr>
          <w:ilvl w:val="0"/>
          <w:numId w:val="2"/>
        </w:numPr>
        <w:spacing w:after="160" w:line="252" w:lineRule="auto"/>
        <w:ind w:left="0" w:firstLine="708"/>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инструкция</w:t>
      </w:r>
      <w:r w:rsidRPr="001C4071">
        <w:rPr>
          <w:rFonts w:ascii="PT Astra Serif" w:eastAsia="PT Astra Serif" w:hAnsi="PT Astra Serif" w:cs="PT Astra Serif"/>
          <w:bCs/>
          <w:color w:val="0070C0"/>
          <w:sz w:val="24"/>
          <w:szCs w:val="24"/>
        </w:rPr>
        <w:t xml:space="preserve"> «Участник закупки указывает в заявке диапазон значений характеристики»: при установлении данной инструкции участником закупки указывается в заявке диапазон, соответствующий установленному в извещении о проведении закупки значению, либо диапазон, не выходящий за его пределы; </w:t>
      </w:r>
    </w:p>
    <w:p w:rsidR="008D53F5" w:rsidRPr="001C4071" w:rsidP="008D53F5">
      <w:pPr>
        <w:pStyle w:val="ListParagraph"/>
        <w:numPr>
          <w:ilvl w:val="0"/>
          <w:numId w:val="2"/>
        </w:numPr>
        <w:spacing w:after="160" w:line="252" w:lineRule="auto"/>
        <w:ind w:left="0" w:firstLine="708"/>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инструкция</w:t>
      </w:r>
      <w:r w:rsidRPr="001C4071">
        <w:rPr>
          <w:rFonts w:ascii="PT Astra Serif" w:eastAsia="PT Astra Serif" w:hAnsi="PT Astra Serif" w:cs="PT Astra Serif"/>
          <w:bCs/>
          <w:color w:val="0070C0"/>
          <w:sz w:val="24"/>
          <w:szCs w:val="24"/>
        </w:rPr>
        <w:t xml:space="preserve"> «Участник закупки указывает в заявке только одно значение характеристики»: при установлении данной инструкции участником закупки указывается в заявке характеристика в виде одного значения, соответствующего установленному в извещении о проведении закупки значению; </w:t>
      </w:r>
    </w:p>
    <w:p w:rsidR="008D53F5" w:rsidRPr="001C4071" w:rsidP="008D53F5">
      <w:pPr>
        <w:pStyle w:val="ListParagraph"/>
        <w:numPr>
          <w:ilvl w:val="0"/>
          <w:numId w:val="2"/>
        </w:numPr>
        <w:spacing w:after="160" w:line="252" w:lineRule="auto"/>
        <w:ind w:left="0" w:firstLine="708"/>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инструкция</w:t>
      </w:r>
      <w:r w:rsidRPr="001C4071">
        <w:rPr>
          <w:rFonts w:ascii="PT Astra Serif" w:eastAsia="PT Astra Serif" w:hAnsi="PT Astra Serif" w:cs="PT Astra Serif"/>
          <w:bCs/>
          <w:color w:val="0070C0"/>
          <w:sz w:val="24"/>
          <w:szCs w:val="24"/>
        </w:rPr>
        <w:t xml:space="preserve"> «Участник закупки указывает в заявке одно или несколько значений характеристики»: при установлении данной инструкции участником закупки указывается в заявке характеристика в виде одного значения или нескольких значений, соответствующих установленным в извещении о проведении закупки значениям; </w:t>
      </w:r>
    </w:p>
    <w:p w:rsidR="008D53F5" w:rsidRPr="001C4071" w:rsidP="008D53F5">
      <w:pPr>
        <w:pStyle w:val="ListParagraph"/>
        <w:numPr>
          <w:ilvl w:val="0"/>
          <w:numId w:val="2"/>
        </w:numPr>
        <w:spacing w:after="0" w:line="240" w:lineRule="auto"/>
        <w:ind w:left="0" w:firstLine="709"/>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инструкция</w:t>
      </w:r>
      <w:r w:rsidRPr="001C4071">
        <w:rPr>
          <w:rFonts w:ascii="PT Astra Serif" w:eastAsia="PT Astra Serif" w:hAnsi="PT Astra Serif" w:cs="PT Astra Serif"/>
          <w:bCs/>
          <w:color w:val="0070C0"/>
          <w:sz w:val="24"/>
          <w:szCs w:val="24"/>
        </w:rPr>
        <w:t xml:space="preserve"> «Участник закупки указывает в заявке все значения характеристики»: при установлении данной инструкции участником закупки указывается в заявке характеристика в виде всех значений, соответствующих установленным в извещении о проведении закупки значениям.</w:t>
      </w:r>
    </w:p>
    <w:p w:rsidR="008D53F5" w:rsidRPr="001C4071" w:rsidP="008D53F5">
      <w:pPr>
        <w:ind w:firstLine="709"/>
        <w:jc w:val="both"/>
        <w:rPr>
          <w:rFonts w:ascii="PT Astra Serif" w:hAnsi="PT Astra Serif" w:cs="PT Astra Serif"/>
          <w:bCs/>
          <w:color w:val="0070C0"/>
          <w:sz w:val="24"/>
          <w:szCs w:val="24"/>
        </w:rPr>
      </w:pPr>
      <w:r w:rsidRPr="001C4071">
        <w:rPr>
          <w:rFonts w:ascii="PT Astra Serif" w:eastAsia="PT Astra Serif" w:hAnsi="PT Astra Serif" w:cs="PT Astra Serif"/>
          <w:bCs/>
          <w:color w:val="0070C0"/>
          <w:sz w:val="24"/>
          <w:szCs w:val="24"/>
        </w:rPr>
        <w:t>Инструкции «Участник закупки указывает в заявке только одно значение характеристики», «Участник закупки указывает в заявке одно или несколько значений характеристики», «Участник закупки указывает в заявке все значения характеристики» устанавливаются в случае наличия у одной характеристики нескольких значений, при этом каждое значение характеристики указывается в отдельной ячейке (строке) таблицы.</w:t>
      </w:r>
    </w:p>
    <w:p w:rsidR="008D53F5" w:rsidRPr="00D1148D">
      <w:pPr>
        <w:widowControl w:val="0"/>
        <w:pBdr>
          <w:top w:val="nil"/>
          <w:left w:val="nil"/>
          <w:bottom w:val="nil"/>
          <w:right w:val="nil"/>
          <w:between w:val="nil"/>
        </w:pBdr>
        <w:spacing w:after="0" w:line="240" w:lineRule="auto"/>
        <w:ind w:left="567" w:firstLine="567"/>
        <w:jc w:val="both"/>
        <w:rPr>
          <w:rFonts w:ascii="PT Astra Serif" w:hAnsi="PT Astra Serif" w:cs="PT Astra Serif"/>
          <w:sz w:val="24"/>
          <w:szCs w:val="24"/>
          <w:highlight w:val="yellow"/>
        </w:rPr>
      </w:pPr>
    </w:p>
    <w:sectPr>
      <w:headerReference w:type="first" r:id="rId6"/>
      <w:pgSz w:w="16838" w:h="11906" w:orient="landscape"/>
      <w:pgMar w:top="1134"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31B3">
      <w:pPr>
        <w:spacing w:after="0" w:line="240" w:lineRule="auto"/>
      </w:pPr>
      <w:r>
        <w:separator/>
      </w:r>
    </w:p>
  </w:footnote>
  <w:footnote w:type="continuationSeparator" w:id="1">
    <w:p w:rsidR="001D31B3">
      <w:pPr>
        <w:spacing w:after="0" w:line="240" w:lineRule="auto"/>
      </w:pPr>
      <w:r>
        <w:continuationSeparator/>
      </w:r>
    </w:p>
  </w:footnote>
  <w:footnote w:id="2">
    <w:p w:rsidR="001D31B3">
      <w:pPr>
        <w:pStyle w:val="FootnoteText"/>
        <w:rPr>
          <w:rFonts w:ascii="PT Astra Serif" w:hAnsi="PT Astra Serif"/>
          <w:sz w:val="20"/>
          <w:szCs w:val="20"/>
        </w:rPr>
      </w:pPr>
      <w:r>
        <w:rPr>
          <w:rFonts w:ascii="PT Astra Serif" w:hAnsi="PT Astra Serif"/>
          <w:sz w:val="20"/>
          <w:szCs w:val="20"/>
        </w:rPr>
        <w:t xml:space="preserve">              </w:t>
      </w:r>
      <w:r>
        <w:rPr>
          <w:rStyle w:val="FootnoteReference"/>
          <w:rFonts w:ascii="PT Astra Serif" w:hAnsi="PT Astra Serif"/>
          <w:sz w:val="20"/>
          <w:szCs w:val="20"/>
        </w:rPr>
        <w:footnoteRef/>
      </w:r>
      <w:r>
        <w:rPr>
          <w:rFonts w:ascii="PT Astra Serif" w:hAnsi="PT Astra Serif"/>
          <w:sz w:val="20"/>
          <w:szCs w:val="20"/>
        </w:rPr>
        <w:t xml:space="preserve"> </w:t>
      </w:r>
      <w:r w:rsidRPr="00917E10" w:rsidR="0088435F">
        <w:rPr>
          <w:rFonts w:ascii="PT Astra Serif" w:eastAsia="PT Astra Serif" w:hAnsi="PT Astra Serif" w:cs="PT Astra Serif"/>
          <w:sz w:val="20"/>
          <w:szCs w:val="20"/>
        </w:rPr>
        <w:t>Наименование и значение характеристики указываются в соответствии с позицией КТРУ. В соответствии с пунктом 5 Правил использования КТРУ, утвержденных постановлением Правительства Российской Федерации от 08.02.2017 № 145, указание дополнительных характеристик не допускается</w:t>
      </w:r>
      <w:r w:rsidRPr="00917E10">
        <w:rPr>
          <w:rFonts w:ascii="PT Astra Serif" w:hAnsi="PT Astra Serif"/>
          <w:sz w:val="20"/>
          <w:szCs w:val="20"/>
        </w:rPr>
        <w:t>.</w:t>
      </w:r>
    </w:p>
  </w:footnote>
  <w:footnote w:id="3">
    <w:p w:rsidR="001D31B3">
      <w:pPr>
        <w:pStyle w:val="FootnoteText"/>
        <w:ind w:firstLine="709"/>
        <w:jc w:val="both"/>
        <w:rPr>
          <w:rFonts w:ascii="PT Astra Serif" w:hAnsi="PT Astra Serif" w:cs="PT Astra Serif"/>
          <w:color w:val="000000" w:themeColor="text1"/>
          <w:sz w:val="20"/>
          <w:szCs w:val="20"/>
        </w:rPr>
      </w:pPr>
      <w:r>
        <w:rPr>
          <w:rStyle w:val="a7"/>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Инструкции устанавливаются в соответствии с Порядком определения инструкции по заполнению характеристик в заявке.</w:t>
      </w:r>
    </w:p>
  </w:footnote>
  <w:footnote w:id="4">
    <w:p w:rsidR="001D31B3">
      <w:pPr>
        <w:pStyle w:val="FootnoteText"/>
        <w:rPr>
          <w:rFonts w:ascii="PT Astra Serif" w:hAnsi="PT Astra Serif"/>
          <w:sz w:val="20"/>
          <w:szCs w:val="20"/>
        </w:rPr>
      </w:pPr>
      <w:r>
        <w:t xml:space="preserve">                </w:t>
      </w:r>
      <w:r>
        <w:rPr>
          <w:rFonts w:ascii="PT Astra Serif" w:hAnsi="PT Astra Serif"/>
          <w:sz w:val="20"/>
          <w:szCs w:val="20"/>
        </w:rPr>
        <w:t xml:space="preserve"> </w:t>
      </w:r>
      <w:r>
        <w:rPr>
          <w:rStyle w:val="FootnoteReference"/>
          <w:rFonts w:ascii="PT Astra Serif" w:hAnsi="PT Astra Serif"/>
          <w:sz w:val="20"/>
          <w:szCs w:val="20"/>
        </w:rPr>
        <w:footnoteRef/>
      </w:r>
      <w:r>
        <w:rPr>
          <w:rFonts w:ascii="PT Astra Serif" w:hAnsi="PT Astra Serif"/>
          <w:sz w:val="20"/>
          <w:szCs w:val="20"/>
        </w:rPr>
        <w:t xml:space="preserve"> </w:t>
      </w:r>
      <w:r>
        <w:rPr>
          <w:rFonts w:ascii="PT Astra Serif" w:eastAsia="PT Astra Serif" w:hAnsi="PT Astra Serif" w:cs="PT Astra Serif"/>
          <w:sz w:val="20"/>
          <w:szCs w:val="20"/>
        </w:rPr>
        <w:t>Указывается код позиции КТРУ в соответствии с выбранными значениями характеристик товара.</w:t>
      </w:r>
    </w:p>
  </w:footnote>
  <w:footnote w:id="5">
    <w:p w:rsidR="00D1148D" w:rsidP="00D1148D">
      <w:pPr>
        <w:pStyle w:val="FootnoteText"/>
        <w:ind w:firstLine="709"/>
        <w:jc w:val="both"/>
        <w:rPr>
          <w:rFonts w:ascii="PT Astra Serif" w:hAnsi="PT Astra Serif" w:cs="PT Astra Serif"/>
          <w:sz w:val="20"/>
          <w:szCs w:val="20"/>
        </w:rPr>
      </w:pPr>
      <w:r>
        <w:rPr>
          <w:rStyle w:val="a7"/>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Требования к предоставлению гарантии устанавливаются в соответствии с частью 4 статьи 33 Закона № 44-ФЗ.</w:t>
      </w:r>
    </w:p>
  </w:footnote>
  <w:footnote w:id="6">
    <w:p w:rsidR="00D1148D" w:rsidP="00D1148D">
      <w:pPr>
        <w:pStyle w:val="FootnoteText"/>
        <w:ind w:firstLine="709"/>
        <w:contextualSpacing/>
        <w:jc w:val="both"/>
        <w:rPr>
          <w:rFonts w:ascii="PT Astra Serif" w:hAnsi="PT Astra Serif" w:cs="PT Astra Serif"/>
          <w:sz w:val="20"/>
          <w:szCs w:val="20"/>
        </w:rPr>
      </w:pPr>
      <w:r>
        <w:rPr>
          <w:rStyle w:val="a7"/>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Условие устанавливается, если гарантийный срок составляет менее двух лет.</w:t>
      </w:r>
    </w:p>
  </w:footnote>
  <w:footnote w:id="7">
    <w:p w:rsidR="00D1148D" w:rsidP="00D1148D">
      <w:pPr>
        <w:pStyle w:val="FootnoteText"/>
        <w:ind w:firstLine="709"/>
        <w:contextualSpacing/>
        <w:jc w:val="both"/>
        <w:rPr>
          <w:rFonts w:ascii="PT Astra Serif" w:hAnsi="PT Astra Serif" w:cs="PT Astra Serif"/>
          <w:sz w:val="20"/>
          <w:szCs w:val="20"/>
        </w:rPr>
      </w:pPr>
      <w:r>
        <w:rPr>
          <w:rStyle w:val="a7"/>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Условие может изменяться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1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733B6E"/>
    <w:multiLevelType w:val="multilevel"/>
    <w:tmpl w:val="DE20307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6CB51C0A"/>
    <w:multiLevelType w:val="hybridMultilevel"/>
    <w:tmpl w:val="B60EBAB4"/>
    <w:lvl w:ilvl="0">
      <w:start w:val="1"/>
      <w:numFmt w:val="bullet"/>
      <w:lvlText w:val=""/>
      <w:lvlJc w:val="left"/>
      <w:pPr>
        <w:ind w:left="1485" w:hanging="360"/>
      </w:pPr>
      <w:rPr>
        <w:rFonts w:ascii="Symbol" w:hAnsi="Symbol"/>
      </w:rPr>
    </w:lvl>
    <w:lvl w:ilvl="1">
      <w:start w:val="1"/>
      <w:numFmt w:val="bullet"/>
      <w:lvlText w:val="o"/>
      <w:lvlJc w:val="left"/>
      <w:pPr>
        <w:ind w:left="2205" w:hanging="360"/>
      </w:pPr>
      <w:rPr>
        <w:rFonts w:ascii="Courier New" w:hAnsi="Courier New" w:cs="Courier New"/>
      </w:rPr>
    </w:lvl>
    <w:lvl w:ilvl="2">
      <w:start w:val="1"/>
      <w:numFmt w:val="bullet"/>
      <w:lvlText w:val=""/>
      <w:lvlJc w:val="left"/>
      <w:pPr>
        <w:ind w:left="2925" w:hanging="360"/>
      </w:pPr>
      <w:rPr>
        <w:rFonts w:ascii="Wingdings" w:hAnsi="Wingdings"/>
      </w:rPr>
    </w:lvl>
    <w:lvl w:ilvl="3">
      <w:start w:val="1"/>
      <w:numFmt w:val="bullet"/>
      <w:lvlText w:val=""/>
      <w:lvlJc w:val="left"/>
      <w:pPr>
        <w:ind w:left="3645" w:hanging="360"/>
      </w:pPr>
      <w:rPr>
        <w:rFonts w:ascii="Symbol" w:hAnsi="Symbol"/>
      </w:rPr>
    </w:lvl>
    <w:lvl w:ilvl="4">
      <w:start w:val="1"/>
      <w:numFmt w:val="bullet"/>
      <w:lvlText w:val="o"/>
      <w:lvlJc w:val="left"/>
      <w:pPr>
        <w:ind w:left="4365" w:hanging="360"/>
      </w:pPr>
      <w:rPr>
        <w:rFonts w:ascii="Courier New" w:hAnsi="Courier New" w:cs="Courier New"/>
      </w:rPr>
    </w:lvl>
    <w:lvl w:ilvl="5">
      <w:start w:val="1"/>
      <w:numFmt w:val="bullet"/>
      <w:lvlText w:val=""/>
      <w:lvlJc w:val="left"/>
      <w:pPr>
        <w:ind w:left="5085" w:hanging="360"/>
      </w:pPr>
      <w:rPr>
        <w:rFonts w:ascii="Wingdings" w:hAnsi="Wingdings"/>
      </w:rPr>
    </w:lvl>
    <w:lvl w:ilvl="6">
      <w:start w:val="1"/>
      <w:numFmt w:val="bullet"/>
      <w:lvlText w:val=""/>
      <w:lvlJc w:val="left"/>
      <w:pPr>
        <w:ind w:left="5805" w:hanging="360"/>
      </w:pPr>
      <w:rPr>
        <w:rFonts w:ascii="Symbol" w:hAnsi="Symbol"/>
      </w:rPr>
    </w:lvl>
    <w:lvl w:ilvl="7">
      <w:start w:val="1"/>
      <w:numFmt w:val="bullet"/>
      <w:lvlText w:val="o"/>
      <w:lvlJc w:val="left"/>
      <w:pPr>
        <w:ind w:left="6525" w:hanging="360"/>
      </w:pPr>
      <w:rPr>
        <w:rFonts w:ascii="Courier New" w:hAnsi="Courier New" w:cs="Courier New"/>
      </w:rPr>
    </w:lvl>
    <w:lvl w:ilvl="8">
      <w:start w:val="1"/>
      <w:numFmt w:val="bullet"/>
      <w:lvlText w:val=""/>
      <w:lvlJc w:val="left"/>
      <w:pPr>
        <w:ind w:left="7245"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B3"/>
    <w:rsid w:val="000141AE"/>
    <w:rsid w:val="0008093A"/>
    <w:rsid w:val="000A2964"/>
    <w:rsid w:val="000E0DAC"/>
    <w:rsid w:val="001C4071"/>
    <w:rsid w:val="001D31B3"/>
    <w:rsid w:val="003833BA"/>
    <w:rsid w:val="003C778A"/>
    <w:rsid w:val="005F1D3D"/>
    <w:rsid w:val="00783F89"/>
    <w:rsid w:val="00786FA8"/>
    <w:rsid w:val="007E4429"/>
    <w:rsid w:val="007F5D4A"/>
    <w:rsid w:val="00861D14"/>
    <w:rsid w:val="0088435F"/>
    <w:rsid w:val="008C2C23"/>
    <w:rsid w:val="008D53F5"/>
    <w:rsid w:val="00904157"/>
    <w:rsid w:val="00917E10"/>
    <w:rsid w:val="00A162C0"/>
    <w:rsid w:val="00A617A4"/>
    <w:rsid w:val="00AC4F37"/>
    <w:rsid w:val="00AE432F"/>
    <w:rsid w:val="00BA4BBC"/>
    <w:rsid w:val="00C41A93"/>
    <w:rsid w:val="00D1148D"/>
    <w:rsid w:val="00E12A43"/>
    <w:rsid w:val="00E3637F"/>
    <w:rsid w:val="00E51D09"/>
    <w:rsid w:val="00E62665"/>
    <w:rsid w:val="00F14AF4"/>
    <w:rsid w:val="00F67B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1A0149F-7F96-485B-A36D-D221C5D0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2"/>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3"/>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4"/>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5"/>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6"/>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7"/>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8"/>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9"/>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Shade="95" w:themeTint="80"/>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Shade="95" w:themeTint="80"/>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11">
    <w:name w:val="Таблица простая 1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customStyle="1" w:styleId="21">
    <w:name w:val="Таблица простая 21"/>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ofFigures">
    <w:name w:val="table of figures"/>
    <w:basedOn w:val="Normal"/>
    <w:next w:val="Normal"/>
    <w:uiPriority w:val="99"/>
    <w:unhideWhenUsed/>
    <w:pPr>
      <w:spacing w:after="0"/>
    </w:pPr>
  </w:style>
  <w:style w:type="character" w:customStyle="1" w:styleId="1">
    <w:name w:val="Заголовок 1 Знак"/>
    <w:basedOn w:val="DefaultParagraphFont"/>
    <w:link w:val="Heading1"/>
    <w:uiPriority w:val="9"/>
    <w:rPr>
      <w:rFonts w:ascii="Arial" w:eastAsia="Arial" w:hAnsi="Arial" w:cs="Arial"/>
      <w:sz w:val="40"/>
      <w:szCs w:val="40"/>
    </w:rPr>
  </w:style>
  <w:style w:type="character" w:customStyle="1" w:styleId="2">
    <w:name w:val="Заголовок 2 Знак"/>
    <w:basedOn w:val="DefaultParagraphFont"/>
    <w:link w:val="Heading2"/>
    <w:uiPriority w:val="9"/>
    <w:rPr>
      <w:rFonts w:ascii="Arial" w:eastAsia="Arial" w:hAnsi="Arial" w:cs="Arial"/>
      <w:sz w:val="34"/>
    </w:rPr>
  </w:style>
  <w:style w:type="character" w:customStyle="1" w:styleId="3">
    <w:name w:val="Заголовок 3 Знак"/>
    <w:basedOn w:val="DefaultParagraphFont"/>
    <w:link w:val="Heading3"/>
    <w:uiPriority w:val="9"/>
    <w:rPr>
      <w:rFonts w:ascii="Arial" w:eastAsia="Arial" w:hAnsi="Arial" w:cs="Arial"/>
      <w:sz w:val="30"/>
      <w:szCs w:val="30"/>
    </w:rPr>
  </w:style>
  <w:style w:type="character" w:customStyle="1" w:styleId="4">
    <w:name w:val="Заголовок 4 Знак"/>
    <w:basedOn w:val="DefaultParagraphFont"/>
    <w:link w:val="Heading4"/>
    <w:uiPriority w:val="9"/>
    <w:rPr>
      <w:rFonts w:ascii="Arial" w:eastAsia="Arial" w:hAnsi="Arial" w:cs="Arial"/>
      <w:b/>
      <w:bCs/>
      <w:sz w:val="26"/>
      <w:szCs w:val="26"/>
    </w:rPr>
  </w:style>
  <w:style w:type="character" w:customStyle="1" w:styleId="5">
    <w:name w:val="Заголовок 5 Знак"/>
    <w:basedOn w:val="DefaultParagraphFont"/>
    <w:link w:val="Heading5"/>
    <w:uiPriority w:val="9"/>
    <w:rPr>
      <w:rFonts w:ascii="Arial" w:eastAsia="Arial" w:hAnsi="Arial" w:cs="Arial"/>
      <w:b/>
      <w:bCs/>
      <w:sz w:val="24"/>
      <w:szCs w:val="24"/>
    </w:rPr>
  </w:style>
  <w:style w:type="character" w:customStyle="1" w:styleId="6">
    <w:name w:val="Заголовок 6 Знак"/>
    <w:basedOn w:val="DefaultParagraphFont"/>
    <w:link w:val="Heading6"/>
    <w:uiPriority w:val="9"/>
    <w:rPr>
      <w:rFonts w:ascii="Arial" w:eastAsia="Arial" w:hAnsi="Arial" w:cs="Arial"/>
      <w:b/>
      <w:bCs/>
      <w:sz w:val="22"/>
      <w:szCs w:val="22"/>
    </w:rPr>
  </w:style>
  <w:style w:type="character" w:customStyle="1" w:styleId="7">
    <w:name w:val="Заголовок 7 Знак"/>
    <w:basedOn w:val="DefaultParagraphFont"/>
    <w:link w:val="Heading7"/>
    <w:uiPriority w:val="9"/>
    <w:rPr>
      <w:rFonts w:ascii="Arial" w:eastAsia="Arial" w:hAnsi="Arial" w:cs="Arial"/>
      <w:b/>
      <w:bCs/>
      <w:i/>
      <w:iCs/>
      <w:sz w:val="22"/>
      <w:szCs w:val="22"/>
    </w:rPr>
  </w:style>
  <w:style w:type="character" w:customStyle="1" w:styleId="8">
    <w:name w:val="Заголовок 8 Знак"/>
    <w:basedOn w:val="DefaultParagraphFont"/>
    <w:link w:val="Heading8"/>
    <w:uiPriority w:val="9"/>
    <w:rPr>
      <w:rFonts w:ascii="Arial" w:eastAsia="Arial" w:hAnsi="Arial" w:cs="Arial"/>
      <w:i/>
      <w:iCs/>
      <w:sz w:val="22"/>
      <w:szCs w:val="22"/>
    </w:rPr>
  </w:style>
  <w:style w:type="character" w:customStyle="1" w:styleId="9">
    <w:name w:val="Заголовок 9 Знак"/>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a"/>
    <w:uiPriority w:val="10"/>
    <w:qFormat/>
    <w:pPr>
      <w:spacing w:before="300"/>
      <w:contextualSpacing/>
    </w:pPr>
    <w:rPr>
      <w:sz w:val="48"/>
      <w:szCs w:val="48"/>
    </w:rPr>
  </w:style>
  <w:style w:type="character" w:customStyle="1" w:styleId="a">
    <w:name w:val="Название Знак"/>
    <w:basedOn w:val="DefaultParagraphFont"/>
    <w:link w:val="Title"/>
    <w:uiPriority w:val="10"/>
    <w:rPr>
      <w:sz w:val="48"/>
      <w:szCs w:val="48"/>
    </w:rPr>
  </w:style>
  <w:style w:type="paragraph" w:styleId="Subtitle">
    <w:name w:val="Subtitle"/>
    <w:basedOn w:val="Normal"/>
    <w:next w:val="Normal"/>
    <w:link w:val="a0"/>
    <w:uiPriority w:val="11"/>
    <w:qFormat/>
    <w:pPr>
      <w:spacing w:before="200"/>
    </w:pPr>
    <w:rPr>
      <w:sz w:val="24"/>
      <w:szCs w:val="24"/>
    </w:rPr>
  </w:style>
  <w:style w:type="character" w:customStyle="1" w:styleId="a0">
    <w:name w:val="Подзаголовок Знак"/>
    <w:basedOn w:val="DefaultParagraphFont"/>
    <w:link w:val="Subtitle"/>
    <w:uiPriority w:val="11"/>
    <w:rPr>
      <w:sz w:val="24"/>
      <w:szCs w:val="24"/>
    </w:rPr>
  </w:style>
  <w:style w:type="paragraph" w:styleId="Quote">
    <w:name w:val="Quote"/>
    <w:basedOn w:val="Normal"/>
    <w:next w:val="Normal"/>
    <w:link w:val="20"/>
    <w:uiPriority w:val="29"/>
    <w:qFormat/>
    <w:pPr>
      <w:ind w:left="720" w:right="720"/>
    </w:pPr>
    <w:rPr>
      <w:i/>
    </w:rPr>
  </w:style>
  <w:style w:type="character" w:customStyle="1" w:styleId="20">
    <w:name w:val="Цитата 2 Знак"/>
    <w:link w:val="Quote"/>
    <w:uiPriority w:val="29"/>
    <w:rPr>
      <w:i/>
    </w:rPr>
  </w:style>
  <w:style w:type="paragraph" w:styleId="IntenseQuote">
    <w:name w:val="Intense Quote"/>
    <w:basedOn w:val="Normal"/>
    <w:next w:val="Normal"/>
    <w:link w:val="a1"/>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1">
    <w:name w:val="Выделенная цитата Знак"/>
    <w:link w:val="IntenseQuote"/>
    <w:uiPriority w:val="30"/>
    <w:rPr>
      <w:i/>
    </w:rPr>
  </w:style>
  <w:style w:type="character" w:customStyle="1" w:styleId="HeaderChar">
    <w:name w:val="Header Char"/>
    <w:basedOn w:val="DefaultParagraphFont"/>
    <w:uiPriority w:val="99"/>
  </w:style>
  <w:style w:type="paragraph" w:styleId="Footer">
    <w:name w:val="footer"/>
    <w:basedOn w:val="Normal"/>
    <w:link w:val="a2"/>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a2">
    <w:name w:val="Нижний колонтитул Знак"/>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_0"/>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_0"/>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_0"/>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0">
    <w:name w:val="Таблица простая 41_0"/>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0">
    <w:name w:val="Таблица простая 51_0"/>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00">
    <w:name w:val="Таблица-сетка 1 светлая1_0"/>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0">
    <w:name w:val="Таблица-сетка 21_0"/>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FFFFFF"/>
      </w:tcPr>
    </w:tblStylePr>
    <w:tblStylePr w:type="lastRow">
      <w:rPr>
        <w:b/>
        <w:color w:val="404040"/>
      </w:rPr>
      <w:tblPr/>
      <w:tcPr>
        <w:tcBorders>
          <w:top w:val="single" w:sz="4" w:space="0" w:color="5D8AC2"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FFFFFF"/>
      </w:tcPr>
    </w:tblStylePr>
    <w:tblStylePr w:type="lastRow">
      <w:rPr>
        <w:b/>
        <w:color w:val="404040"/>
      </w:rPr>
      <w:tblPr/>
      <w:tcPr>
        <w:tcBorders>
          <w:top w:val="single" w:sz="4" w:space="0" w:color="D99695"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FFFFFF"/>
      </w:tcPr>
    </w:tblStylePr>
    <w:tblStylePr w:type="lastRow">
      <w:rPr>
        <w:b/>
        <w:color w:val="404040"/>
      </w:rPr>
      <w:tblPr/>
      <w:tcPr>
        <w:tcBorders>
          <w:top w:val="single" w:sz="4" w:space="0" w:color="9ABB59"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FFFFFF"/>
      </w:tcPr>
    </w:tblStylePr>
    <w:tblStylePr w:type="lastRow">
      <w:rPr>
        <w:b/>
        <w:color w:val="404040"/>
      </w:rPr>
      <w:tblPr/>
      <w:tcPr>
        <w:tcBorders>
          <w:top w:val="single" w:sz="4" w:space="0" w:color="B2A1C6"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FFFFFF"/>
      </w:tcPr>
    </w:tblStylePr>
    <w:tblStylePr w:type="lastRow">
      <w:rPr>
        <w:b/>
        <w:color w:val="404040"/>
      </w:rPr>
      <w:tblPr/>
      <w:tcPr>
        <w:tcBorders>
          <w:top w:val="single" w:sz="4" w:space="0" w:color="4BACC6"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FFFFFF"/>
      </w:tcPr>
    </w:tblStylePr>
    <w:tblStylePr w:type="lastRow">
      <w:rPr>
        <w:b/>
        <w:color w:val="404040"/>
      </w:rPr>
      <w:tblPr/>
      <w:tcPr>
        <w:tcBorders>
          <w:top w:val="single" w:sz="4" w:space="0" w:color="F79646"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00">
    <w:name w:val="Таблица-сетка 31_0"/>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00">
    <w:name w:val="Таблица-сетка 41_0"/>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00">
    <w:name w:val="Таблица-сетка 5 темная1_0"/>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00">
    <w:name w:val="Таблица-сетка 6 цветная1_0"/>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FFFFFF" w:fill="CBCBCB" w:themeFill="text1" w:themeFillTint="34"/>
      </w:tcPr>
    </w:tblStylePr>
    <w:tblStylePr w:type="band1Horz">
      <w:rPr>
        <w:rFonts w:ascii="Arial" w:hAnsi="Arial"/>
        <w:color w:val="7F7F7F" w:themeColor="text1" w:themeShade="95" w:themeTint="80"/>
        <w:sz w:val="22"/>
      </w:rPr>
      <w:tblPr/>
      <w:tcPr>
        <w:shd w:val="clear" w:color="FFFFFF" w:fill="CBCBCB"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Shade="95" w:themeTint="80"/>
      </w:rPr>
      <w:tblPr/>
      <w:tcPr>
        <w:tcBorders>
          <w:bottom w:val="single" w:sz="12" w:space="0" w:color="A6BFDD" w:themeColor="accent1" w:themeTint="8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blPr/>
      <w:tcPr>
        <w:shd w:val="clear" w:color="FFFFFF" w:fill="DAE5F1" w:themeFill="accent1" w:themeFillTint="34"/>
      </w:tcPr>
    </w:tblStylePr>
    <w:tblStylePr w:type="band1Horz">
      <w:rPr>
        <w:rFonts w:ascii="Arial" w:hAnsi="Arial"/>
        <w:color w:val="A6BFDD" w:themeColor="accent1" w:themeShade="95" w:themeTint="80"/>
        <w:sz w:val="22"/>
      </w:rPr>
      <w:tblPr/>
      <w:tcPr>
        <w:shd w:val="clear" w:color="FFFFFF" w:fill="DAE5F1" w:themeFill="accent1" w:themeFillTint="34"/>
      </w:tcPr>
    </w:tblStylePr>
    <w:tblStylePr w:type="band2Horz">
      <w:rPr>
        <w:rFonts w:ascii="Arial" w:hAnsi="Arial"/>
        <w:color w:val="A6BFDD"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Shade="95" w:themeTint="97"/>
      </w:rPr>
      <w:tblPr/>
      <w:tcPr>
        <w:tcBorders>
          <w:bottom w:val="single" w:sz="12" w:space="0" w:color="D99695" w:themeColor="accent2" w:themeTint="97"/>
        </w:tcBorders>
      </w:tcPr>
    </w:tblStylePr>
    <w:tblStylePr w:type="lastRow">
      <w:rPr>
        <w:b/>
        <w:color w:val="D99695" w:themeColor="accent2" w:themeShade="95" w:themeTint="97"/>
      </w:r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FFFFFF" w:fill="F2DCDC" w:themeFill="accent2" w:themeFillTint="32"/>
      </w:tcPr>
    </w:tblStylePr>
    <w:tblStylePr w:type="band1Horz">
      <w:rPr>
        <w:rFonts w:ascii="Arial" w:hAnsi="Arial"/>
        <w:color w:val="D99695" w:themeColor="accent2" w:themeShade="95" w:themeTint="97"/>
        <w:sz w:val="22"/>
      </w:rPr>
      <w:tblPr/>
      <w:tcPr>
        <w:shd w:val="clear" w:color="FFFFFF" w:fill="F2DCDC" w:themeFill="accent2" w:themeFillTint="32"/>
      </w:tcPr>
    </w:tblStylePr>
    <w:tblStylePr w:type="band2Horz">
      <w:rPr>
        <w:rFonts w:ascii="Arial" w:hAnsi="Arial"/>
        <w:color w:val="D99695"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Shade="95" w:themeTint="FE"/>
      </w:rPr>
      <w:tblPr/>
      <w:tcPr>
        <w:tcBorders>
          <w:bottom w:val="single" w:sz="12" w:space="0" w:color="9ABB59" w:themeColor="accent3" w:themeTint="FE"/>
        </w:tcBorders>
      </w:tcPr>
    </w:tblStylePr>
    <w:tblStylePr w:type="lastRow">
      <w:rPr>
        <w:b/>
        <w:color w:val="9ABB59" w:themeColor="accent3" w:themeShade="95" w:themeTint="FE"/>
      </w:rPr>
    </w:tblStylePr>
    <w:tblStylePr w:type="firstCol">
      <w:rPr>
        <w:b/>
        <w:color w:val="9ABB59" w:themeColor="accent3" w:themeShade="95" w:themeTint="FE"/>
      </w:rPr>
    </w:tblStylePr>
    <w:tblStylePr w:type="lastCol">
      <w:rPr>
        <w:b/>
        <w:color w:val="9ABB59" w:themeColor="accent3" w:themeShade="95" w:themeTint="FE"/>
      </w:rPr>
    </w:tblStylePr>
    <w:tblStylePr w:type="band1Vert">
      <w:tblPr/>
      <w:tcPr>
        <w:shd w:val="clear" w:color="FFFFFF" w:fill="EAF1DC" w:themeFill="accent3" w:themeFillTint="34"/>
      </w:tcPr>
    </w:tblStylePr>
    <w:tblStylePr w:type="band1Horz">
      <w:rPr>
        <w:rFonts w:ascii="Arial" w:hAnsi="Arial"/>
        <w:color w:val="9ABB59" w:themeColor="accent3" w:themeShade="95" w:themeTint="FE"/>
        <w:sz w:val="22"/>
      </w:rPr>
      <w:tblPr/>
      <w:tcPr>
        <w:shd w:val="clear" w:color="FFFFFF" w:fill="EAF1DC" w:themeFill="accent3" w:themeFillTint="34"/>
      </w:tcPr>
    </w:tblStylePr>
    <w:tblStylePr w:type="band2Horz">
      <w:rPr>
        <w:rFonts w:ascii="Arial" w:hAnsi="Arial"/>
        <w:color w:val="9ABB59"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Shade="95" w:themeTint="9A"/>
      </w:rPr>
      <w:tblPr/>
      <w:tcPr>
        <w:tcBorders>
          <w:bottom w:val="single" w:sz="12" w:space="0" w:color="B2A1C6" w:themeColor="accent4" w:themeTint="9A"/>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FFFFFF" w:fill="E5DFEC" w:themeFill="accent4" w:themeFillTint="34"/>
      </w:tcPr>
    </w:tblStylePr>
    <w:tblStylePr w:type="band1Horz">
      <w:rPr>
        <w:rFonts w:ascii="Arial" w:hAnsi="Arial"/>
        <w:color w:val="B2A1C6" w:themeColor="accent4" w:themeShade="95" w:themeTint="9A"/>
        <w:sz w:val="22"/>
      </w:rPr>
      <w:tblPr/>
      <w:tcPr>
        <w:shd w:val="clear" w:color="FFFFFF" w:fill="E5DFEC" w:themeFill="accent4" w:themeFillTint="34"/>
      </w:tcPr>
    </w:tblStylePr>
    <w:tblStylePr w:type="band2Horz">
      <w:rPr>
        <w:rFonts w:ascii="Arial" w:hAnsi="Arial"/>
        <w:color w:val="B2A1C6"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00">
    <w:name w:val="Таблица-сетка 7 цветная1_0"/>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Shade="95" w:themeTint="80"/>
        <w:sz w:val="22"/>
      </w:rPr>
      <w:tblPr/>
      <w:tcPr>
        <w:shd w:val="clear" w:color="FFFFFF" w:fill="F2F2F2"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Shade="95"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rPr>
        <w:rFonts w:ascii="Arial" w:hAnsi="Arial"/>
        <w:b/>
        <w:color w:val="A6BFDD" w:themeColor="accent1" w:themeShade="95"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sz="4" w:space="0" w:color="A6BFDD" w:themeColor="accent1" w:themeTint="80"/>
        </w:tcBorders>
        <w:shd w:val="clear" w:color="FFFFFF" w:fill="FFFFFF"/>
      </w:tcPr>
    </w:tblStylePr>
    <w:tblStylePr w:type="lastCol">
      <w:rPr>
        <w:rFonts w:ascii="Arial" w:hAnsi="Arial"/>
        <w:i/>
        <w:color w:val="A6BFDD" w:themeColor="accent1" w:themeShade="95" w:themeTint="80"/>
        <w:sz w:val="22"/>
      </w:rPr>
      <w:tblPr/>
      <w:tcPr>
        <w:tcBorders>
          <w:top w:val="nil"/>
          <w:left w:val="single" w:sz="4" w:space="0" w:color="A6BFDD" w:themeColor="accent1" w:themeTint="80"/>
          <w:bottom w:val="nil"/>
          <w:right w:val="nil"/>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Shade="95" w:themeTint="80"/>
        <w:sz w:val="22"/>
      </w:rPr>
      <w:tblPr/>
      <w:tcPr>
        <w:shd w:val="clear" w:color="FFFFFF" w:fill="DAE5F1" w:themeFill="accent1" w:themeFillTint="34"/>
      </w:tcPr>
    </w:tblStylePr>
    <w:tblStylePr w:type="band2Horz">
      <w:rPr>
        <w:rFonts w:ascii="Arial" w:hAnsi="Arial"/>
        <w:color w:val="A6BFDD" w:themeColor="accent1" w:themeShade="95" w:themeTint="80"/>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Fill="light1"/>
      </w:tcPr>
    </w:tblStylePr>
    <w:tblStylePr w:type="lastRow">
      <w:rPr>
        <w:rFonts w:ascii="Arial" w:hAnsi="Arial"/>
        <w:b/>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Fill="light1"/>
      </w:tcPr>
    </w:tblStylePr>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FFFFFF"/>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Shade="95" w:themeTint="97"/>
        <w:sz w:val="22"/>
      </w:rPr>
      <w:tblPr/>
      <w:tcPr>
        <w:shd w:val="clear" w:color="FFFFFF" w:fill="F2DCDC" w:themeFill="accent2" w:themeFillTint="32"/>
      </w:tcPr>
    </w:tblStylePr>
    <w:tblStylePr w:type="band2Horz">
      <w:rPr>
        <w:rFonts w:ascii="Arial" w:hAnsi="Arial"/>
        <w:color w:val="D99695" w:themeColor="accent2" w:themeShade="95" w:themeTint="97"/>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Shade="95" w:themeTint="FE"/>
        <w:sz w:val="22"/>
      </w:rPr>
      <w:tblPr/>
      <w:tcPr>
        <w:tcBorders>
          <w:top w:val="nil"/>
          <w:left w:val="nil"/>
          <w:bottom w:val="single" w:sz="4" w:space="0" w:color="9ABB59" w:themeColor="accent3" w:themeTint="FE"/>
          <w:right w:val="nil"/>
        </w:tcBorders>
        <w:shd w:val="clear" w:color="FFFFFF" w:fill="FFFFFF" w:themeFill="light1"/>
      </w:tcPr>
    </w:tblStylePr>
    <w:tblStylePr w:type="lastRow">
      <w:rPr>
        <w:rFonts w:ascii="Arial" w:hAnsi="Arial"/>
        <w:b/>
        <w:color w:val="9ABB59" w:themeColor="accent3" w:themeShade="95" w:themeTint="FE"/>
        <w:sz w:val="22"/>
      </w:rPr>
      <w:tblPr/>
      <w:tcPr>
        <w:tcBorders>
          <w:top w:val="single" w:sz="4" w:space="0" w:color="9ABB59" w:themeColor="accent3" w:themeTint="FE"/>
          <w:left w:val="nil"/>
          <w:bottom w:val="nil"/>
          <w:right w:val="nil"/>
        </w:tcBorders>
        <w:shd w:val="clear" w:color="FFFFFF" w:fill="FFFFFF" w:themeFill="light1"/>
      </w:tcPr>
    </w:tblStylePr>
    <w:tblStylePr w:type="firstCol">
      <w:pPr>
        <w:jc w:val="right"/>
      </w:pPr>
      <w:rPr>
        <w:rFonts w:ascii="Arial" w:hAnsi="Arial"/>
        <w:i/>
        <w:color w:val="9ABB59" w:themeColor="accent3" w:themeShade="95" w:themeTint="FE"/>
        <w:sz w:val="22"/>
      </w:rPr>
      <w:tblPr/>
      <w:tcPr>
        <w:tcBorders>
          <w:top w:val="nil"/>
          <w:left w:val="nil"/>
          <w:bottom w:val="nil"/>
          <w:right w:val="single" w:sz="4" w:space="0" w:color="9ABB59" w:themeColor="accent3" w:themeTint="FE"/>
        </w:tcBorders>
        <w:shd w:val="clear" w:color="FFFFFF" w:fill="FFFFFF"/>
      </w:tcPr>
    </w:tblStylePr>
    <w:tblStylePr w:type="lastCol">
      <w:rPr>
        <w:rFonts w:ascii="Arial" w:hAnsi="Arial"/>
        <w:i/>
        <w:color w:val="9ABB59" w:themeColor="accent3" w:themeShade="95" w:themeTint="FE"/>
        <w:sz w:val="22"/>
      </w:rPr>
      <w:tblPr/>
      <w:tcPr>
        <w:tcBorders>
          <w:top w:val="nil"/>
          <w:left w:val="single" w:sz="4" w:space="0" w:color="9ABB59" w:themeColor="accent3" w:themeTint="FE"/>
          <w:bottom w:val="nil"/>
          <w:right w:val="nil"/>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Shade="95" w:themeTint="FE"/>
        <w:sz w:val="22"/>
      </w:rPr>
      <w:tblPr/>
      <w:tcPr>
        <w:shd w:val="clear" w:color="FFFFFF" w:fill="EAF1DC" w:themeFill="accent3" w:themeFillTint="34"/>
      </w:tcPr>
    </w:tblStylePr>
    <w:tblStylePr w:type="band2Horz">
      <w:rPr>
        <w:rFonts w:ascii="Arial" w:hAnsi="Arial"/>
        <w:color w:val="9ABB59" w:themeColor="accent3" w:themeShade="95" w:themeTint="FE"/>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Fill="light1"/>
      </w:tcPr>
    </w:tblStylePr>
    <w:tblStylePr w:type="lastRow">
      <w:rPr>
        <w:rFonts w:ascii="Arial" w:hAnsi="Arial"/>
        <w:b/>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FFFFFF"/>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Shade="95" w:themeTint="9A"/>
        <w:sz w:val="22"/>
      </w:rPr>
      <w:tblPr/>
      <w:tcPr>
        <w:shd w:val="clear" w:color="FFFFFF" w:fill="E5DFEC" w:themeFill="accent4" w:themeFillTint="34"/>
      </w:tcPr>
    </w:tblStylePr>
    <w:tblStylePr w:type="band2Horz">
      <w:rPr>
        <w:rFonts w:ascii="Arial" w:hAnsi="Arial"/>
        <w:color w:val="B2A1C6" w:themeColor="accent4" w:themeShade="95" w:themeTint="9A"/>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1">
    <w:name w:val="Список-таблица 1 светлая1_0"/>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1">
    <w:name w:val="Список-таблица 21_0"/>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1">
    <w:name w:val="Список-таблица 31_0"/>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1">
    <w:name w:val="Список-таблица 41_0"/>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1">
    <w:name w:val="Список-таблица 5 темная1_0"/>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1">
    <w:name w:val="Список-таблица 6 цветная1_0"/>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Shade="95" w:themeTint="97"/>
      </w:rPr>
      <w:tblPr/>
      <w:tcPr>
        <w:tcBorders>
          <w:bottom w:val="single" w:sz="4" w:space="0" w:color="D99695" w:themeColor="accent2" w:themeTint="97"/>
        </w:tcBorders>
      </w:tcPr>
    </w:tblStylePr>
    <w:tblStylePr w:type="lastRow">
      <w:rPr>
        <w:b/>
        <w:color w:val="D99695" w:themeColor="accent2" w:themeShade="95" w:themeTint="97"/>
      </w:rPr>
      <w:tblPr/>
      <w:tcPr>
        <w:tcBorders>
          <w:top w:val="single" w:sz="4" w:space="0" w:color="D99695" w:themeColor="accent2" w:themeTint="97"/>
        </w:tcBorders>
      </w:tc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FFFFFF" w:fill="EFD2D2" w:themeFill="accent2" w:themeFillTint="40"/>
      </w:tcPr>
    </w:tblStylePr>
    <w:tblStylePr w:type="band1Horz">
      <w:rPr>
        <w:rFonts w:ascii="Arial" w:hAnsi="Arial"/>
        <w:color w:val="D99695" w:themeColor="accent2" w:themeShade="95" w:themeTint="97"/>
        <w:sz w:val="22"/>
      </w:rPr>
      <w:tblPr/>
      <w:tcPr>
        <w:shd w:val="clear" w:color="FFFFFF" w:fill="EFD2D2" w:themeFill="accent2" w:themeFillTint="40"/>
      </w:tcPr>
    </w:tblStylePr>
    <w:tblStylePr w:type="band2Horz">
      <w:rPr>
        <w:rFonts w:ascii="Arial" w:hAnsi="Arial"/>
        <w:color w:val="D99695" w:themeColor="accent2" w:themeShade="95" w:themeTint="97"/>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Shade="95" w:themeTint="98"/>
      </w:rPr>
      <w:tblPr/>
      <w:tcPr>
        <w:tcBorders>
          <w:bottom w:val="single" w:sz="4" w:space="0" w:color="C3D69B" w:themeColor="accent3" w:themeTint="98"/>
        </w:tcBorders>
      </w:tcPr>
    </w:tblStylePr>
    <w:tblStylePr w:type="lastRow">
      <w:rPr>
        <w:b/>
        <w:color w:val="C3D69B" w:themeColor="accent3" w:themeShade="95" w:themeTint="98"/>
      </w:rPr>
      <w:tblPr/>
      <w:tcPr>
        <w:tcBorders>
          <w:top w:val="single" w:sz="4" w:space="0" w:color="C3D69B" w:themeColor="accent3" w:themeTint="98"/>
        </w:tcBorders>
      </w:tcPr>
    </w:tblStylePr>
    <w:tblStylePr w:type="firstCol">
      <w:rPr>
        <w:b/>
        <w:color w:val="C3D69B" w:themeColor="accent3" w:themeShade="95" w:themeTint="98"/>
      </w:rPr>
    </w:tblStylePr>
    <w:tblStylePr w:type="lastCol">
      <w:rPr>
        <w:b/>
        <w:color w:val="C3D69B" w:themeColor="accent3" w:themeShade="95" w:themeTint="98"/>
      </w:rPr>
    </w:tblStylePr>
    <w:tblStylePr w:type="band1Vert">
      <w:tblPr/>
      <w:tcPr>
        <w:shd w:val="clear" w:color="FFFFFF" w:fill="E5EED5" w:themeFill="accent3" w:themeFillTint="40"/>
      </w:tcPr>
    </w:tblStylePr>
    <w:tblStylePr w:type="band1Horz">
      <w:rPr>
        <w:rFonts w:ascii="Arial" w:hAnsi="Arial"/>
        <w:color w:val="C3D69B" w:themeColor="accent3" w:themeShade="95" w:themeTint="98"/>
        <w:sz w:val="22"/>
      </w:rPr>
      <w:tblPr/>
      <w:tcPr>
        <w:shd w:val="clear" w:color="FFFFFF" w:fill="E5EED5" w:themeFill="accent3" w:themeFillTint="40"/>
      </w:tcPr>
    </w:tblStylePr>
    <w:tblStylePr w:type="band2Horz">
      <w:rPr>
        <w:rFonts w:ascii="Arial" w:hAnsi="Arial"/>
        <w:color w:val="C3D69B" w:themeColor="accent3" w:themeShade="95" w:themeTint="98"/>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Shade="95" w:themeTint="9A"/>
      </w:rPr>
      <w:tblPr/>
      <w:tcPr>
        <w:tcBorders>
          <w:bottom w:val="single" w:sz="4" w:space="0" w:color="B2A1C6" w:themeColor="accent4" w:themeTint="9A"/>
        </w:tcBorders>
      </w:tcPr>
    </w:tblStylePr>
    <w:tblStylePr w:type="lastRow">
      <w:rPr>
        <w:b/>
        <w:color w:val="B2A1C6" w:themeColor="accent4" w:themeShade="95" w:themeTint="9A"/>
      </w:rPr>
      <w:tblPr/>
      <w:tcPr>
        <w:tcBorders>
          <w:top w:val="single" w:sz="4" w:space="0" w:color="B2A1C6" w:themeColor="accent4" w:themeTint="9A"/>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FFFFFF" w:fill="DFD8E7" w:themeFill="accent4" w:themeFillTint="40"/>
      </w:tcPr>
    </w:tblStylePr>
    <w:tblStylePr w:type="band1Horz">
      <w:rPr>
        <w:rFonts w:ascii="Arial" w:hAnsi="Arial"/>
        <w:color w:val="B2A1C6" w:themeColor="accent4" w:themeShade="95" w:themeTint="9A"/>
        <w:sz w:val="22"/>
      </w:rPr>
      <w:tblPr/>
      <w:tcPr>
        <w:shd w:val="clear" w:color="FFFFFF" w:fill="DFD8E7" w:themeFill="accent4" w:themeFillTint="40"/>
      </w:tcPr>
    </w:tblStylePr>
    <w:tblStylePr w:type="band2Horz">
      <w:rPr>
        <w:rFonts w:ascii="Arial" w:hAnsi="Arial"/>
        <w:color w:val="B2A1C6" w:themeColor="accent4" w:themeShade="95" w:themeTint="9A"/>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Shade="95" w:themeTint="9A"/>
      </w:rPr>
      <w:tblPr/>
      <w:tcPr>
        <w:tcBorders>
          <w:bottom w:val="single" w:sz="4" w:space="0" w:color="92CCDC" w:themeColor="accent5" w:themeTint="9A"/>
        </w:tcBorders>
      </w:tcPr>
    </w:tblStylePr>
    <w:tblStylePr w:type="lastRow">
      <w:rPr>
        <w:b/>
        <w:color w:val="92CCDC" w:themeColor="accent5" w:themeShade="95" w:themeTint="9A"/>
      </w:rPr>
      <w:tblPr/>
      <w:tcPr>
        <w:tcBorders>
          <w:top w:val="single" w:sz="4" w:space="0" w:color="92CCDC" w:themeColor="accent5" w:themeTint="9A"/>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blPr/>
      <w:tcPr>
        <w:shd w:val="clear" w:color="FFFFFF" w:fill="D1EAF0" w:themeFill="accent5" w:themeFillTint="40"/>
      </w:tcPr>
    </w:tblStylePr>
    <w:tblStylePr w:type="band1Horz">
      <w:rPr>
        <w:rFonts w:ascii="Arial" w:hAnsi="Arial"/>
        <w:color w:val="92CCDC" w:themeColor="accent5" w:themeShade="95" w:themeTint="9A"/>
        <w:sz w:val="22"/>
      </w:rPr>
      <w:tblPr/>
      <w:tcPr>
        <w:shd w:val="clear" w:color="FFFFFF" w:fill="D1EAF0" w:themeFill="accent5" w:themeFillTint="40"/>
      </w:tcPr>
    </w:tblStylePr>
    <w:tblStylePr w:type="band2Horz">
      <w:rPr>
        <w:rFonts w:ascii="Arial" w:hAnsi="Arial"/>
        <w:color w:val="92CCDC" w:themeColor="accent5" w:themeShade="95" w:themeTint="9A"/>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Shade="95" w:themeTint="98"/>
      </w:rPr>
      <w:tblPr/>
      <w:tcPr>
        <w:tcBorders>
          <w:bottom w:val="single" w:sz="4" w:space="0" w:color="FAC090" w:themeColor="accent6" w:themeTint="98"/>
        </w:tcBorders>
      </w:tcPr>
    </w:tblStylePr>
    <w:tblStylePr w:type="lastRow">
      <w:rPr>
        <w:b/>
        <w:color w:val="FAC090" w:themeColor="accent6" w:themeShade="95" w:themeTint="98"/>
      </w:rPr>
      <w:tblPr/>
      <w:tcPr>
        <w:tcBorders>
          <w:top w:val="single" w:sz="4" w:space="0" w:color="FAC090" w:themeColor="accent6" w:themeTint="98"/>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blPr/>
      <w:tcPr>
        <w:shd w:val="clear" w:color="FFFFFF" w:fill="FDE4D0" w:themeFill="accent6" w:themeFillTint="40"/>
      </w:tcPr>
    </w:tblStylePr>
    <w:tblStylePr w:type="band1Horz">
      <w:rPr>
        <w:rFonts w:ascii="Arial" w:hAnsi="Arial"/>
        <w:color w:val="FAC090" w:themeColor="accent6" w:themeShade="95" w:themeTint="98"/>
        <w:sz w:val="22"/>
      </w:rPr>
      <w:tblPr/>
      <w:tcPr>
        <w:shd w:val="clear" w:color="FFFFFF" w:fill="FDE4D0" w:themeFill="accent6" w:themeFillTint="40"/>
      </w:tcPr>
    </w:tblStylePr>
    <w:tblStylePr w:type="band2Horz">
      <w:rPr>
        <w:rFonts w:ascii="Arial" w:hAnsi="Arial"/>
        <w:color w:val="FAC090" w:themeColor="accent6" w:themeShade="95" w:themeTint="98"/>
        <w:sz w:val="22"/>
      </w:rPr>
    </w:tblStylePr>
  </w:style>
  <w:style w:type="table" w:customStyle="1" w:styleId="-7101">
    <w:name w:val="Список-таблица 7 цветная1_0"/>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Shade="95" w:themeTint="80"/>
        <w:sz w:val="22"/>
      </w:rPr>
      <w:tblPr/>
      <w:tcPr>
        <w:shd w:val="clear" w:color="FFFFFF" w:fill="BFBFBF"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Fill="light1"/>
      </w:tcPr>
    </w:tblStylePr>
    <w:tblStylePr w:type="lastRow">
      <w:rPr>
        <w:rFonts w:ascii="Arial" w:hAnsi="Arial"/>
        <w:i/>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Fill="light1"/>
      </w:tcPr>
    </w:tblStylePr>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FFFFFF"/>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Shade="95" w:themeTint="97"/>
        <w:sz w:val="22"/>
      </w:rPr>
      <w:tblPr/>
      <w:tcPr>
        <w:shd w:val="clear" w:color="FFFFFF" w:fill="EFD2D2" w:themeFill="accent2" w:themeFillTint="40"/>
      </w:tcPr>
    </w:tblStylePr>
    <w:tblStylePr w:type="band2Horz">
      <w:rPr>
        <w:rFonts w:ascii="Arial" w:hAnsi="Arial"/>
        <w:color w:val="D99695"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Shade="95" w:themeTint="98"/>
        <w:sz w:val="22"/>
      </w:rPr>
      <w:tblPr/>
      <w:tcPr>
        <w:tcBorders>
          <w:top w:val="nil"/>
          <w:left w:val="nil"/>
          <w:bottom w:val="single" w:sz="4" w:space="0" w:color="C3D69B" w:themeColor="accent3" w:themeTint="98"/>
          <w:right w:val="nil"/>
        </w:tcBorders>
        <w:shd w:val="clear" w:color="FFFFFF" w:fill="FFFFFF" w:themeFill="light1"/>
      </w:tcPr>
    </w:tblStylePr>
    <w:tblStylePr w:type="lastRow">
      <w:rPr>
        <w:rFonts w:ascii="Arial" w:hAnsi="Arial"/>
        <w:i/>
        <w:color w:val="C3D69B" w:themeColor="accent3" w:themeShade="95" w:themeTint="98"/>
        <w:sz w:val="22"/>
      </w:rPr>
      <w:tblPr/>
      <w:tcPr>
        <w:tcBorders>
          <w:top w:val="single" w:sz="4" w:space="0" w:color="C3D69B" w:themeColor="accent3" w:themeTint="98"/>
          <w:left w:val="nil"/>
          <w:bottom w:val="nil"/>
          <w:right w:val="nil"/>
        </w:tcBorders>
        <w:shd w:val="clear" w:color="FFFFFF" w:fill="FFFFFF" w:themeFill="light1"/>
      </w:tcPr>
    </w:tblStylePr>
    <w:tblStylePr w:type="firstCol">
      <w:pPr>
        <w:jc w:val="right"/>
      </w:pPr>
      <w:rPr>
        <w:rFonts w:ascii="Arial" w:hAnsi="Arial"/>
        <w:i/>
        <w:color w:val="C3D69B" w:themeColor="accent3" w:themeShade="95" w:themeTint="98"/>
        <w:sz w:val="22"/>
      </w:rPr>
      <w:tblPr/>
      <w:tcPr>
        <w:tcBorders>
          <w:top w:val="nil"/>
          <w:left w:val="nil"/>
          <w:bottom w:val="nil"/>
          <w:right w:val="single" w:sz="4" w:space="0" w:color="C3D69B" w:themeColor="accent3" w:themeTint="98"/>
        </w:tcBorders>
        <w:shd w:val="clear" w:color="FFFFFF" w:fill="FFFFFF"/>
      </w:tcPr>
    </w:tblStylePr>
    <w:tblStylePr w:type="lastCol">
      <w:rPr>
        <w:rFonts w:ascii="Arial" w:hAnsi="Arial"/>
        <w:i/>
        <w:color w:val="C3D69B" w:themeColor="accent3" w:themeShade="95" w:themeTint="98"/>
        <w:sz w:val="22"/>
      </w:rPr>
      <w:tblPr/>
      <w:tcPr>
        <w:tcBorders>
          <w:top w:val="nil"/>
          <w:left w:val="single" w:sz="4" w:space="0" w:color="C3D69B" w:themeColor="accent3" w:themeTint="98"/>
          <w:bottom w:val="nil"/>
          <w:right w:val="nil"/>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Shade="95" w:themeTint="98"/>
        <w:sz w:val="22"/>
      </w:rPr>
      <w:tblPr/>
      <w:tcPr>
        <w:shd w:val="clear" w:color="FFFFFF" w:fill="E5EED5" w:themeFill="accent3" w:themeFillTint="40"/>
      </w:tcPr>
    </w:tblStylePr>
    <w:tblStylePr w:type="band2Horz">
      <w:rPr>
        <w:rFonts w:ascii="Arial" w:hAnsi="Arial"/>
        <w:color w:val="C3D69B"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Fill="light1"/>
      </w:tcPr>
    </w:tblStylePr>
    <w:tblStylePr w:type="lastRow">
      <w:rPr>
        <w:rFonts w:ascii="Arial" w:hAnsi="Arial"/>
        <w:i/>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FFFFFF"/>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Shade="95" w:themeTint="9A"/>
        <w:sz w:val="22"/>
      </w:rPr>
      <w:tblPr/>
      <w:tcPr>
        <w:shd w:val="clear" w:color="FFFFFF" w:fill="DFD8E7" w:themeFill="accent4" w:themeFillTint="40"/>
      </w:tcPr>
    </w:tblStylePr>
    <w:tblStylePr w:type="band2Horz">
      <w:rPr>
        <w:rFonts w:ascii="Arial" w:hAnsi="Arial"/>
        <w:color w:val="B2A1C6"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Shade="95" w:themeTint="9A"/>
        <w:sz w:val="22"/>
      </w:rPr>
      <w:tblPr/>
      <w:tcPr>
        <w:tcBorders>
          <w:top w:val="nil"/>
          <w:left w:val="nil"/>
          <w:bottom w:val="single" w:sz="4" w:space="0" w:color="92CCDC" w:themeColor="accent5" w:themeTint="9A"/>
          <w:right w:val="nil"/>
        </w:tcBorders>
        <w:shd w:val="clear" w:color="FFFFFF" w:fill="FFFFFF" w:themeFill="light1"/>
      </w:tcPr>
    </w:tblStylePr>
    <w:tblStylePr w:type="lastRow">
      <w:rPr>
        <w:rFonts w:ascii="Arial" w:hAnsi="Arial"/>
        <w:i/>
        <w:color w:val="92CCDC" w:themeColor="accent5" w:themeShade="95" w:themeTint="9A"/>
        <w:sz w:val="22"/>
      </w:rPr>
      <w:tblPr/>
      <w:tcPr>
        <w:tcBorders>
          <w:top w:val="single" w:sz="4" w:space="0" w:color="92CCDC" w:themeColor="accent5" w:themeTint="9A"/>
          <w:left w:val="nil"/>
          <w:bottom w:val="nil"/>
          <w:right w:val="nil"/>
        </w:tcBorders>
        <w:shd w:val="clear" w:color="FFFFFF"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sz="4" w:space="0" w:color="92CCDC" w:themeColor="accent5" w:themeTint="9A"/>
        </w:tcBorders>
        <w:shd w:val="clear" w:color="FFFFFF" w:fill="FFFFFF"/>
      </w:tcPr>
    </w:tblStylePr>
    <w:tblStylePr w:type="lastCol">
      <w:rPr>
        <w:rFonts w:ascii="Arial" w:hAnsi="Arial"/>
        <w:i/>
        <w:color w:val="92CCDC" w:themeColor="accent5" w:themeShade="95" w:themeTint="9A"/>
        <w:sz w:val="22"/>
      </w:rPr>
      <w:tblPr/>
      <w:tcPr>
        <w:tcBorders>
          <w:top w:val="nil"/>
          <w:left w:val="single" w:sz="4" w:space="0" w:color="92CCDC" w:themeColor="accent5" w:themeTint="9A"/>
          <w:bottom w:val="nil"/>
          <w:right w:val="nil"/>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Shade="95" w:themeTint="9A"/>
        <w:sz w:val="22"/>
      </w:rPr>
      <w:tblPr/>
      <w:tcPr>
        <w:shd w:val="clear" w:color="FFFFFF" w:fill="D1EAF0" w:themeFill="accent5" w:themeFillTint="40"/>
      </w:tcPr>
    </w:tblStylePr>
    <w:tblStylePr w:type="band2Horz">
      <w:rPr>
        <w:rFonts w:ascii="Arial" w:hAnsi="Arial"/>
        <w:color w:val="92CCDC"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Shade="95" w:themeTint="98"/>
        <w:sz w:val="22"/>
      </w:rPr>
      <w:tblPr/>
      <w:tcPr>
        <w:tcBorders>
          <w:top w:val="nil"/>
          <w:left w:val="nil"/>
          <w:bottom w:val="single" w:sz="4" w:space="0" w:color="FAC090" w:themeColor="accent6" w:themeTint="98"/>
          <w:right w:val="nil"/>
        </w:tcBorders>
        <w:shd w:val="clear" w:color="FFFFFF" w:fill="FFFFFF" w:themeFill="light1"/>
      </w:tcPr>
    </w:tblStylePr>
    <w:tblStylePr w:type="lastRow">
      <w:rPr>
        <w:rFonts w:ascii="Arial" w:hAnsi="Arial"/>
        <w:i/>
        <w:color w:val="FAC090" w:themeColor="accent6" w:themeShade="95" w:themeTint="98"/>
        <w:sz w:val="22"/>
      </w:rPr>
      <w:tblPr/>
      <w:tcPr>
        <w:tcBorders>
          <w:top w:val="single" w:sz="4" w:space="0" w:color="FAC090" w:themeColor="accent6" w:themeTint="98"/>
          <w:left w:val="nil"/>
          <w:bottom w:val="nil"/>
          <w:right w:val="nil"/>
        </w:tcBorders>
        <w:shd w:val="clear" w:color="FFFFFF"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sz="4" w:space="0" w:color="FAC090" w:themeColor="accent6" w:themeTint="98"/>
        </w:tcBorders>
        <w:shd w:val="clear" w:color="FFFFFF" w:fill="FFFFFF"/>
      </w:tcPr>
    </w:tblStylePr>
    <w:tblStylePr w:type="lastCol">
      <w:rPr>
        <w:rFonts w:ascii="Arial" w:hAnsi="Arial"/>
        <w:i/>
        <w:color w:val="FAC090" w:themeColor="accent6" w:themeShade="95" w:themeTint="98"/>
        <w:sz w:val="22"/>
      </w:rPr>
      <w:tblPr/>
      <w:tcPr>
        <w:tcBorders>
          <w:top w:val="nil"/>
          <w:left w:val="single" w:sz="4" w:space="0" w:color="FAC090" w:themeColor="accent6" w:themeTint="98"/>
          <w:bottom w:val="nil"/>
          <w:right w:val="nil"/>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Shade="95" w:themeTint="98"/>
        <w:sz w:val="22"/>
      </w:rPr>
      <w:tblPr/>
      <w:tcPr>
        <w:shd w:val="clear" w:color="FFFFFF" w:fill="FDE4D0" w:themeFill="accent6" w:themeFillTint="40"/>
      </w:tcPr>
    </w:tblStylePr>
    <w:tblStylePr w:type="band2Horz">
      <w:rPr>
        <w:rFonts w:ascii="Arial" w:hAnsi="Arial"/>
        <w:color w:val="FAC090" w:themeColor="accent6" w:themeShade="95" w:themeTint="98"/>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a3"/>
    <w:unhideWhenUsed/>
    <w:pPr>
      <w:spacing w:after="40" w:line="240" w:lineRule="auto"/>
    </w:pPr>
    <w:rPr>
      <w:sz w:val="18"/>
    </w:rPr>
  </w:style>
  <w:style w:type="character" w:customStyle="1" w:styleId="a3">
    <w:name w:val="Текст сноски Знак"/>
    <w:link w:val="FootnoteText"/>
    <w:uiPriority w:val="99"/>
    <w:rPr>
      <w:sz w:val="18"/>
    </w:rPr>
  </w:style>
  <w:style w:type="character" w:styleId="FootnoteReference">
    <w:name w:val="footnote reference"/>
    <w:basedOn w:val="DefaultParagraphFont"/>
    <w:unhideWhenUsed/>
    <w:rPr>
      <w:vertAlign w:val="superscript"/>
    </w:rPr>
  </w:style>
  <w:style w:type="paragraph" w:styleId="EndnoteText">
    <w:name w:val="endnote text"/>
    <w:basedOn w:val="Normal"/>
    <w:link w:val="a4"/>
    <w:uiPriority w:val="99"/>
    <w:semiHidden/>
    <w:unhideWhenUsed/>
    <w:pPr>
      <w:spacing w:after="0" w:line="240" w:lineRule="auto"/>
    </w:pPr>
    <w:rPr>
      <w:sz w:val="20"/>
    </w:rPr>
  </w:style>
  <w:style w:type="character" w:customStyle="1" w:styleId="a4">
    <w:name w:val="Текст концевой сноски Знак"/>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a5"/>
    <w:uiPriority w:val="99"/>
    <w:unhideWhenUsed/>
    <w:pPr>
      <w:pBdr>
        <w:top w:val="nil"/>
        <w:left w:val="nil"/>
        <w:bottom w:val="nil"/>
        <w:right w:val="nil"/>
        <w:between w:val="nil"/>
      </w:pBdr>
      <w:tabs>
        <w:tab w:val="center" w:pos="4677"/>
        <w:tab w:val="right" w:pos="9355"/>
      </w:tabs>
      <w:spacing w:after="0" w:line="240" w:lineRule="auto"/>
    </w:pPr>
    <w:rPr>
      <w:lang w:eastAsia="ru-RU"/>
    </w:rPr>
  </w:style>
  <w:style w:type="character" w:customStyle="1" w:styleId="a5">
    <w:name w:val="Верхний колонтитул Знак"/>
    <w:basedOn w:val="DefaultParagraphFont"/>
    <w:link w:val="Header"/>
    <w:uiPriority w:val="99"/>
    <w:rPr>
      <w:rFonts w:ascii="Calibri" w:eastAsia="Calibri" w:hAnsi="Calibri" w:cs="Calibri"/>
      <w:lang w:eastAsia="ru-RU"/>
    </w:rPr>
  </w:style>
  <w:style w:type="paragraph" w:customStyle="1" w:styleId="a6">
    <w:name w:val="Заголовок колонки"/>
    <w:uiPriority w:val="99"/>
    <w:pPr>
      <w:widowControl w:val="0"/>
      <w:pBdr>
        <w:top w:val="nil"/>
        <w:left w:val="nil"/>
        <w:bottom w:val="nil"/>
        <w:right w:val="nil"/>
        <w:between w:val="nil"/>
      </w:pBdr>
      <w:spacing w:after="0" w:line="240" w:lineRule="auto"/>
      <w:jc w:val="center"/>
    </w:pPr>
    <w:rPr>
      <w:rFonts w:ascii="Times New Roman" w:eastAsia="Times New Roman" w:hAnsi="Times New Roman" w:cs="Times New Roman"/>
      <w:b/>
      <w:sz w:val="24"/>
      <w:szCs w:val="24"/>
      <w:lang w:eastAsia="ru-RU"/>
    </w:rPr>
  </w:style>
  <w:style w:type="paragraph" w:customStyle="1" w:styleId="ConsPlusTitle">
    <w:name w:val="ConsPlusTitle"/>
    <w:uiPriority w:val="99"/>
    <w:qFormat/>
    <w:pPr>
      <w:widowControl w:val="0"/>
      <w:pBdr>
        <w:top w:val="nil"/>
        <w:left w:val="nil"/>
        <w:bottom w:val="nil"/>
        <w:right w:val="nil"/>
        <w:between w:val="nil"/>
      </w:pBdr>
      <w:spacing w:after="0" w:line="240" w:lineRule="auto"/>
    </w:pPr>
    <w:rPr>
      <w:rFonts w:ascii="Arial" w:hAnsi="Arial" w:cs="Arial"/>
      <w:b/>
      <w:bCs/>
      <w:sz w:val="20"/>
      <w:szCs w:val="20"/>
      <w:lang w:eastAsia="ru-RU"/>
    </w:rPr>
  </w:style>
  <w:style w:type="character" w:customStyle="1" w:styleId="a7">
    <w:name w:val="Символ сноски"/>
    <w:qFormat/>
  </w:style>
  <w:style w:type="character" w:customStyle="1" w:styleId="a8">
    <w:name w:val="Привязка сноски"/>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a9"/>
    <w:uiPriority w:val="99"/>
    <w:semiHidden/>
    <w:unhideWhenUsed/>
    <w:pPr>
      <w:spacing w:line="240" w:lineRule="auto"/>
    </w:pPr>
    <w:rPr>
      <w:sz w:val="20"/>
      <w:szCs w:val="20"/>
    </w:rPr>
  </w:style>
  <w:style w:type="character" w:customStyle="1" w:styleId="a9">
    <w:name w:val="Текст примечания Знак"/>
    <w:basedOn w:val="DefaultParagraphFont"/>
    <w:link w:val="CommentText"/>
    <w:uiPriority w:val="99"/>
    <w:semiHidden/>
    <w:rPr>
      <w:sz w:val="20"/>
      <w:szCs w:val="20"/>
    </w:rPr>
  </w:style>
  <w:style w:type="paragraph" w:styleId="CommentSubject">
    <w:name w:val="annotation subject"/>
    <w:basedOn w:val="CommentText"/>
    <w:next w:val="CommentText"/>
    <w:link w:val="a10"/>
    <w:uiPriority w:val="99"/>
    <w:semiHidden/>
    <w:unhideWhenUsed/>
    <w:rPr>
      <w:b/>
      <w:bCs/>
    </w:rPr>
  </w:style>
  <w:style w:type="character" w:customStyle="1" w:styleId="a10">
    <w:name w:val="Тема примечания Знак"/>
    <w:basedOn w:val="a9"/>
    <w:link w:val="CommentSubject"/>
    <w:uiPriority w:val="99"/>
    <w:semiHidden/>
    <w:rPr>
      <w:b/>
      <w:bCs/>
      <w:sz w:val="20"/>
      <w:szCs w:val="20"/>
    </w:rPr>
  </w:style>
  <w:style w:type="paragraph" w:styleId="BalloonText">
    <w:name w:val="Balloon Text"/>
    <w:basedOn w:val="Normal"/>
    <w:link w:val="a11"/>
    <w:uiPriority w:val="99"/>
    <w:semiHidden/>
    <w:unhideWhenUsed/>
    <w:pPr>
      <w:spacing w:after="0" w:line="240" w:lineRule="auto"/>
    </w:pPr>
    <w:rPr>
      <w:rFonts w:ascii="Segoe UI" w:hAnsi="Segoe UI" w:cs="Segoe UI"/>
      <w:sz w:val="18"/>
      <w:szCs w:val="18"/>
    </w:rPr>
  </w:style>
  <w:style w:type="character" w:customStyle="1" w:styleId="a11">
    <w:name w:val="Текст выноски Знак"/>
    <w:basedOn w:val="DefaultParagraphFont"/>
    <w:link w:val="BalloonText"/>
    <w:uiPriority w:val="99"/>
    <w:semiHidden/>
    <w:rPr>
      <w:rFonts w:ascii="Segoe UI" w:hAnsi="Segoe UI" w:cs="Segoe UI"/>
      <w:sz w:val="18"/>
      <w:szCs w:val="18"/>
    </w:rPr>
  </w:style>
  <w:style w:type="character" w:customStyle="1" w:styleId="22">
    <w:name w:val="Текст сноски Знак2"/>
    <w:rsid w:val="00D1148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6295-5580-4EBD-98F8-BD4FFBC1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1578</Words>
  <Characters>8999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Дейкин Евгений Юрьевич</dc:creator>
  <cp:lastModifiedBy>Жидкова Р.Н.</cp:lastModifiedBy>
  <cp:revision>30</cp:revision>
  <dcterms:created xsi:type="dcterms:W3CDTF">2025-04-11T03:32:00Z</dcterms:created>
  <dcterms:modified xsi:type="dcterms:W3CDTF">2025-04-22T06:49:00Z</dcterms:modified>
</cp:coreProperties>
</file>